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header5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_rels/document.xml.rels" ContentType="application/vnd.openxmlformats-package.relationships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284" w:firstLine="709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284" w:hanging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284" w:hanging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284" w:hanging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284" w:hanging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284" w:hanging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284" w:hanging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ru-RU"/>
        </w:rPr>
        <w:t>ПРАВИТЕЛЬСТВО РОССИЙСКОЙ ФЕДЕРАЦИИ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pacing w:val="20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pacing w:val="20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pacing w:val="20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pacing w:val="20"/>
          <w:sz w:val="28"/>
          <w:szCs w:val="20"/>
          <w:lang w:eastAsia="ru-RU"/>
        </w:rPr>
        <w:t>РАСПОРЯЖЕНИЕ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pacing w:val="20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pacing w:val="20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pacing w:val="20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pacing w:val="20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pacing w:val="20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pacing w:val="20"/>
          <w:sz w:val="28"/>
          <w:szCs w:val="20"/>
          <w:lang w:eastAsia="ru-RU"/>
        </w:rPr>
        <w:t>от «</w:t>
      </w:r>
      <w:r>
        <w:rPr>
          <w:rFonts w:eastAsia="Arial Unicode MS" w:cs="Times New Roman" w:ascii="Times New Roman" w:hAnsi="Times New Roman"/>
          <w:bCs/>
          <w:sz w:val="28"/>
          <w:szCs w:val="28"/>
        </w:rPr>
        <w:t>___</w:t>
      </w:r>
      <w:r>
        <w:rPr>
          <w:rFonts w:eastAsia="Times New Roman" w:cs="Times New Roman" w:ascii="Times New Roman" w:hAnsi="Times New Roman"/>
          <w:spacing w:val="20"/>
          <w:sz w:val="28"/>
          <w:szCs w:val="20"/>
          <w:lang w:eastAsia="ru-RU"/>
        </w:rPr>
        <w:t>» ________2020 г. №_____-р</w:t>
      </w:r>
      <w:r>
        <w:rPr>
          <w:rFonts w:eastAsia="Arial Unicode MS" w:cs="Times New Roman" w:ascii="Times New Roman" w:hAnsi="Times New Roman"/>
          <w:bCs/>
          <w:sz w:val="28"/>
          <w:szCs w:val="28"/>
        </w:rPr>
        <w:t>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pacing w:val="20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pacing w:val="20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Arial Unicode MS" w:cs="Times New Roman"/>
          <w:bCs/>
          <w:sz w:val="28"/>
          <w:szCs w:val="28"/>
        </w:rPr>
      </w:pPr>
      <w:r>
        <w:rPr>
          <w:rFonts w:eastAsia="Arial Unicode MS" w:cs="Times New Roman" w:ascii="Times New Roman" w:hAnsi="Times New Roman"/>
          <w:bCs/>
          <w:sz w:val="28"/>
          <w:szCs w:val="28"/>
        </w:rPr>
        <w:t>МОСКВА</w:t>
      </w:r>
    </w:p>
    <w:p>
      <w:pPr>
        <w:pStyle w:val="Normal"/>
        <w:spacing w:lineRule="auto" w:line="240" w:before="0" w:after="0"/>
        <w:ind w:right="284" w:hanging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284" w:hanging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284" w:hanging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1. Утвердить стратегию развития аддитивных технологий в Российской Федерации на период до 2030 года (далее – Стратегия).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2. Минпромторгу России: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представить с участием заинтересованных федеральных органов исполнительной власти в 9-месячный срок в Правительство Российской Федерации план мероприятий по реализации Стратегии;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обеспечить совместно с заинтересованными федеральными органами исполнительной власти реализацию Стратегии.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3. Рекомендовать органам исполнительной власти субъектов Российской Федерации руководствоваться положениями Стратегии при принятии</w:t>
        <w:br/>
        <w:t>в пределах своей компетенции решений о мерах стимулирования деятельности</w:t>
        <w:br/>
        <w:t>в области аддитивных технологий.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284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284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Председатель Правительства</w:t>
      </w:r>
    </w:p>
    <w:p>
      <w:pPr>
        <w:pStyle w:val="Normal"/>
        <w:spacing w:lineRule="auto" w:line="240" w:before="0" w:after="0"/>
        <w:ind w:right="284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</w:t>
      </w:r>
      <w:r>
        <w:rPr>
          <w:rFonts w:eastAsia="Calibri" w:cs="Times New Roman" w:ascii="Times New Roman" w:hAnsi="Times New Roman"/>
          <w:sz w:val="28"/>
          <w:szCs w:val="28"/>
        </w:rPr>
        <w:t>Российской Федерации                                                                                 М. Мишустин</w:t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right" w:pos="102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134" w:right="567" w:header="709" w:top="1134" w:footer="0" w:bottom="1134" w:gutter="0"/>
          <w:pgNumType w:start="1" w:fmt="decimal"/>
          <w:formProt w:val="false"/>
          <w:titlePg/>
          <w:textDirection w:val="lrTb"/>
          <w:docGrid w:type="default" w:linePitch="360" w:charSpace="4096"/>
        </w:sectPr>
        <w:pStyle w:val="Style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5387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УТВЕРЖДЕНА</w:t>
      </w:r>
    </w:p>
    <w:p>
      <w:pPr>
        <w:pStyle w:val="Normal"/>
        <w:ind w:left="5387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распоряжением Правительства Российской Федерации</w:t>
      </w:r>
    </w:p>
    <w:p>
      <w:pPr>
        <w:pStyle w:val="Normal"/>
        <w:keepNext w:val="true"/>
        <w:keepLines/>
        <w:spacing w:lineRule="auto" w:line="360"/>
        <w:ind w:left="5387" w:right="107" w:hanging="0"/>
        <w:jc w:val="center"/>
        <w:rPr>
          <w:rFonts w:ascii="Times New Roman" w:hAnsi="Times New Roman" w:eastAsia="Arial Unicode MS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от__________2020 г. №______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spacing w:before="0"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spacing w:before="0" w:after="2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С Т Р А Т Е Г И Я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развития аддитивных технологий в Российской Федерации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период до 2030 года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3"/>
        </w:numPr>
        <w:spacing w:before="0" w:after="240"/>
        <w:ind w:lef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Основные положения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Стратегия развития аддитивных технологий на период до 2030 года </w:t>
        <w:br/>
        <w:t xml:space="preserve">(далее - Стратегия) определяет основные направления государственной политики </w:t>
        <w:br/>
        <w:t>в сфере развития отрасли аддитивных технологий в Российской Федерации на период до 2030 года.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Стратегия направлена на создание конкурентоспособной отрасли аддитивных технологий в Российской Федерации на основе развития научно-технического </w:t>
        <w:br/>
        <w:t xml:space="preserve">и кадрового потенциала, оптимизации производственных мощностей, </w:t>
        <w:br/>
        <w:t>их модернизации и технического перевооружения, создания новых технологических направлений и технологий, освоения приоритетных промышленных аддитивных технологий, а также совершенствования нормативно-правовой базы для удовлетворения потребностей государства и иных заказчиков в современной продукции аддитивного производства.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Правовую основу Стратегии составляют Конституция Российской Федерации, федеральные конституционные законы, федеральные законы, а также правовые акты Президента Российской Федерации и Правительства Российской Федерации.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Стратегия разработана в соответствии с Федеральным законом </w:t>
        <w:br/>
        <w:t>от 28 июня 2014 г. № 172-ФЗ «О стратегическом планировании в Российской Федерации» и прогнозом долгосрочного социально-экономического развития Российской федерации на период до 2030 года, разработанного Министерством экономического развития Российской Федерации.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Стратегия обеспечивает реализацию следующих документов стратегического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планирования: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Указ Президента Российской Федерации от 7 мая 2018 г. № 204 </w:t>
        <w:br/>
        <w:t>«О национальных целях и стратегических задачах развития Российской Федерации на период до 2024 года»;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Указ Президента Российской Федерации от 21 июля 2020 г. № 474 </w:t>
        <w:br/>
        <w:t>«О национальных целях развития Российской Федерации на период до 2030 года»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Стратегия научно-технологического развития Российской Федерации, утверждённая Указом Президента Российской Федерации от 1 декабря 2016 г. № 642;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Основные направления деятельности Правительства на период до 2024 года, утвержденные Правительством Российской Федерации 29 сентября 2018 г. </w:t>
        <w:br/>
        <w:t>№ 8028п-П13;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Стратегия инновационного развития Российской Федерации, утвержденная распоряжением Правительства Российской Федерации от 8 декабря 2011 г. </w:t>
        <w:br/>
        <w:t>№ 2227-р;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Стратегия разработана с учетом: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национальной программы «Цифровая экономика Российской Федерации»;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прогноза научно-технологического развития Российской Федерации на период до 2030 года, утвержденного Председателем Правительства Российской Федерации;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eastAsia="游明朝" w:cs="Times New Roman" w:eastAsiaTheme="minorEastAsia"/>
          <w:sz w:val="28"/>
          <w:szCs w:val="28"/>
          <w:lang w:eastAsia="en-US"/>
        </w:rPr>
      </w:pPr>
      <w:r>
        <w:rPr>
          <w:rFonts w:eastAsia="游明朝" w:cs="Times New Roman" w:ascii="Times New Roman" w:hAnsi="Times New Roman" w:eastAsiaTheme="minorEastAsia"/>
          <w:sz w:val="28"/>
          <w:szCs w:val="28"/>
          <w:lang w:eastAsia="en-US"/>
        </w:rPr>
        <w:t xml:space="preserve">распоряжения Правительства Российской Федерации от 8 июля 2019 г. </w:t>
        <w:br/>
        <w:t>№ 1484-р «О подписании соглашений о намерении между Правительством Российской Федерации и государственными корпорациями, и компаниями с государственным участием в целях развития отдельных высокотехнологичных направлений».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реализации Стратегии необходима консолидация усилий органов государственной власти Российской Федерации, научного, научно-образовательного и предпринимательского сообществ (включая малый и средний бизнес) по формированию благоприятного правового, инвестиционного и делового климата, обеспечению необходимого технологического и кадрового потенциала.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Стратегия является основой для формирования и реализации государственной политики в области развития аддитивных технологий, а также для разработки </w:t>
        <w:br/>
        <w:t>и дополнения государственных программ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Оценка состояния отрасли аддитивных технологий</w:t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Российской федерации</w:t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4"/>
        </w:numPr>
        <w:spacing w:lineRule="auto" w:line="240"/>
        <w:ind w:lef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Общее состояние отрасли аддитивных технологий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eastAsia="游明朝" w:cs="Times New Roman" w:eastAsiaTheme="minorEastAsia"/>
          <w:sz w:val="28"/>
          <w:szCs w:val="28"/>
          <w:lang w:eastAsia="en-US"/>
        </w:rPr>
      </w:pPr>
      <w:r>
        <w:rPr>
          <w:rFonts w:eastAsia="游明朝" w:cs="Times New Roman" w:ascii="Times New Roman" w:hAnsi="Times New Roman" w:eastAsiaTheme="minorEastAsia"/>
          <w:sz w:val="28"/>
          <w:szCs w:val="28"/>
          <w:lang w:eastAsia="en-US"/>
        </w:rPr>
        <w:t xml:space="preserve">Аддитивные технологии – отрасль экономики, включающая в себя разработку и производство аддитивного оборудования, комплектующих, материалов для аддитивного производства и специализированного программного обеспечения, </w:t>
        <w:br/>
        <w:t>а также услуг и инжиниринга в сфере аддитивных технологий (данное определение приводится в целях рассматриваемой Стратегии).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Межотраслевой характер Стратегии подразумевает включение в контур стратегического планирования также потребителей аддитивных технологий из различных отраслей промышленности, разработчиков и производителей аддитивного оборудования, материалов и программного обеспечения для него.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отрасли создаются ключевые технологии разработки и производства аддитивного оборудования и материалов.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характеру применения (специализации) аддитивное оборудование делится на универсальное (для межотраслевого применения) и специализированное </w:t>
        <w:br/>
        <w:t>(для конкретных видов производств).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специализированному аддитивному оборудованию относится оборудование, которое изготавливается для решения узкоспециализированной конкретной задачи конкретного потребителя в конкретной отрасли (3d принтер для создания конструкций из металла в космическом пространстве, 3d принтер для создания ракетных двигателей, 3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 xml:space="preserve"> принтер для создания взрывчатых веществ, 3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 xml:space="preserve"> принтер для создания блока атомного реактора и тд.).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универсальному аддитивному оборудованию относится оборудование, которое изготавливается для решения разных задач разными потребителями в разных отраслях (персональные 3d принтеры (для личного/домашнего пользования), профессиональные 3d принтеры (для использования в коммерческих целях), промышленные 3d принтеры; строительные 3d принтеры; 3d сканеры; медицинские 3d принтеры; линии промышленного оборудования для производства материалов для аддитивной печати; комплексы для постобработки изделий, произведенных аддитивным методом, и тд.).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eastAsia="游明朝" w:cs="Times New Roman" w:eastAsiaTheme="minorEastAsia"/>
          <w:sz w:val="28"/>
          <w:szCs w:val="28"/>
          <w:lang w:eastAsia="en-US"/>
        </w:rPr>
      </w:pPr>
      <w:r>
        <w:rPr>
          <w:rFonts w:eastAsia="游明朝" w:cs="Times New Roman" w:ascii="Times New Roman" w:hAnsi="Times New Roman" w:eastAsiaTheme="minorEastAsia"/>
          <w:sz w:val="28"/>
          <w:szCs w:val="28"/>
          <w:lang w:eastAsia="en-US"/>
        </w:rPr>
        <w:t>Отрасль аддитивные технологии в Российской Федерации представлена производственными, научно-производственными, проектными и научными организациями, отраслевыми образовательными организациями и профессиональными объединениями, общее количество которых составляет около 90 организаций.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eastAsia="游明朝" w:cs="Times New Roman" w:eastAsiaTheme="minorEastAsia"/>
          <w:sz w:val="28"/>
          <w:szCs w:val="28"/>
          <w:lang w:eastAsia="en-US"/>
        </w:rPr>
      </w:pPr>
      <w:r>
        <w:rPr>
          <w:rFonts w:eastAsia="游明朝" w:cs="Times New Roman" w:ascii="Times New Roman" w:hAnsi="Times New Roman" w:eastAsiaTheme="minorEastAsia"/>
          <w:sz w:val="28"/>
          <w:szCs w:val="28"/>
          <w:lang w:eastAsia="en-US"/>
        </w:rPr>
        <w:t>Научно-технический и производственный потенциал отрасли аддитивных технологий оказывает значительное влияние на темпы развития смежных отраслей промышленности Российской Федерации.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eastAsia="游明朝" w:cs="Times New Roman" w:eastAsiaTheme="minorEastAsia"/>
          <w:sz w:val="28"/>
          <w:szCs w:val="28"/>
          <w:lang w:eastAsia="en-US"/>
        </w:rPr>
      </w:pPr>
      <w:r>
        <w:rPr>
          <w:rFonts w:eastAsia="游明朝" w:cs="Times New Roman" w:ascii="Times New Roman" w:hAnsi="Times New Roman" w:eastAsiaTheme="minorEastAsia"/>
          <w:sz w:val="28"/>
          <w:szCs w:val="28"/>
          <w:lang w:eastAsia="en-US"/>
        </w:rPr>
        <w:t>Структурно отрасль аддитивных технологий состоит из 3 основных групп: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eastAsia="游明朝" w:cs="Times New Roman" w:eastAsiaTheme="minorEastAsia"/>
          <w:sz w:val="28"/>
          <w:szCs w:val="28"/>
          <w:lang w:eastAsia="en-US"/>
        </w:rPr>
      </w:pPr>
      <w:r>
        <w:rPr>
          <w:rFonts w:eastAsia="游明朝" w:cs="Times New Roman" w:ascii="Times New Roman" w:hAnsi="Times New Roman" w:eastAsiaTheme="minorEastAsia"/>
          <w:sz w:val="28"/>
          <w:szCs w:val="28"/>
          <w:lang w:eastAsia="en-US"/>
        </w:rPr>
        <w:t>организации с государственным участием;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eastAsia="游明朝" w:cs="Times New Roman" w:eastAsiaTheme="minorEastAsia"/>
          <w:sz w:val="28"/>
          <w:szCs w:val="28"/>
          <w:lang w:eastAsia="en-US"/>
        </w:rPr>
      </w:pPr>
      <w:r>
        <w:rPr>
          <w:rFonts w:eastAsia="游明朝" w:cs="Times New Roman" w:ascii="Times New Roman" w:hAnsi="Times New Roman" w:eastAsiaTheme="minorEastAsia"/>
          <w:sz w:val="28"/>
          <w:szCs w:val="28"/>
          <w:lang w:eastAsia="en-US"/>
        </w:rPr>
        <w:t>организации с частным российским капиталом;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eastAsia="游明朝" w:cs="Times New Roman" w:eastAsiaTheme="minorEastAsia"/>
          <w:sz w:val="28"/>
          <w:szCs w:val="28"/>
          <w:lang w:eastAsia="en-US"/>
        </w:rPr>
      </w:pPr>
      <w:r>
        <w:rPr>
          <w:rFonts w:eastAsia="游明朝" w:cs="Times New Roman" w:ascii="Times New Roman" w:hAnsi="Times New Roman" w:eastAsiaTheme="minorEastAsia"/>
          <w:sz w:val="28"/>
          <w:szCs w:val="28"/>
          <w:lang w:eastAsia="en-US"/>
        </w:rPr>
        <w:t>организации с иностранным капиталом.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eastAsia="游明朝" w:cs="Times New Roman" w:eastAsiaTheme="minorEastAsia"/>
          <w:sz w:val="28"/>
          <w:szCs w:val="28"/>
          <w:lang w:eastAsia="en-US"/>
        </w:rPr>
      </w:pPr>
      <w:r>
        <w:rPr>
          <w:rFonts w:eastAsia="游明朝" w:cs="Times New Roman" w:ascii="Times New Roman" w:hAnsi="Times New Roman" w:eastAsiaTheme="minorEastAsia"/>
          <w:sz w:val="28"/>
          <w:szCs w:val="28"/>
          <w:lang w:eastAsia="en-US"/>
        </w:rPr>
        <w:t>Организации с государственным и иностранным капиталом преимущественно представлены структурными подразделениями и дочерними малыми предприятиями субъектов промышленной деятельности.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eastAsia="游明朝" w:cs="Times New Roman" w:eastAsiaTheme="minorEastAsia"/>
          <w:sz w:val="28"/>
          <w:szCs w:val="28"/>
          <w:lang w:eastAsia="en-US"/>
        </w:rPr>
      </w:pPr>
      <w:r>
        <w:rPr>
          <w:rFonts w:eastAsia="游明朝" w:cs="Times New Roman" w:ascii="Times New Roman" w:hAnsi="Times New Roman" w:eastAsiaTheme="minorEastAsia"/>
          <w:sz w:val="28"/>
          <w:szCs w:val="28"/>
          <w:lang w:eastAsia="en-US"/>
        </w:rPr>
        <w:t>Организации с частными российским капиталом преимущественно представлены субъектами малого и среднего предпринимательства.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eastAsia="游明朝" w:cs="Times New Roman" w:eastAsiaTheme="minorEastAsia"/>
          <w:sz w:val="28"/>
          <w:szCs w:val="28"/>
          <w:lang w:eastAsia="en-US"/>
        </w:rPr>
      </w:pPr>
      <w:r>
        <w:rPr>
          <w:rFonts w:eastAsia="游明朝" w:cs="Times New Roman" w:ascii="Times New Roman" w:hAnsi="Times New Roman" w:eastAsiaTheme="minorEastAsia"/>
          <w:sz w:val="28"/>
          <w:szCs w:val="28"/>
          <w:lang w:eastAsia="en-US"/>
        </w:rPr>
        <w:t>Особое место в структуре отрасли аддитивных технологий занимают отраслевые институты, осуществляющие работы по проектированию и созданию аддитивного оборудования, обладающие необходимыми кадрами, оборудованием и технологиями.</w:t>
      </w:r>
    </w:p>
    <w:p>
      <w:pPr>
        <w:pStyle w:val="ListParagraph"/>
        <w:numPr>
          <w:ilvl w:val="0"/>
          <w:numId w:val="4"/>
        </w:numPr>
        <w:spacing w:lineRule="auto" w:line="240"/>
        <w:ind w:lef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Финансово-экономическое состояние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Отрасль аддитивных технологий в период 2010 – 2019 показала положительную динамику развития и достигла следующих показателей в 2019 году: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объем российского рынка аддитивных технологий составил 2 800,0 млн рублей;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объем российского рынка аддитивного оборудования и комплектующих, составил 1 900,0 млн рублей;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объем продаж российских компаний на внутреннем рынке аддитивного оборудования и комплектующих составил 757,0 млн рублей;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объем продаж российских компаний на внешнем рынке аддитивных технологий составил 9,7 млн рублей.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Наблюдается проблема с диспропорцией количества российских производителей по ряду технологических направлений аддитивных технологий </w:t>
        <w:br/>
        <w:t>на российском и мировом рынках, обусловленная воздействием иностранных компаний, мировых лидеров в производстве продукции аддитивных технологий, обладающих большей, чем российские производители, ресурсной и технологической базой, а также возможностью компенсации убытков на одном из рынков за счет рынков других стран.</w:t>
      </w:r>
    </w:p>
    <w:p>
      <w:pPr>
        <w:pStyle w:val="ListParagraph"/>
        <w:numPr>
          <w:ilvl w:val="0"/>
          <w:numId w:val="4"/>
        </w:numPr>
        <w:spacing w:lineRule="auto" w:line="360" w:before="24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Кадровый потенциал</w:t>
      </w:r>
    </w:p>
    <w:p>
      <w:pPr>
        <w:pStyle w:val="ListParagraph"/>
        <w:spacing w:lineRule="auto" w:line="360"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отрасли аддитивных технологий сформирован кадровый ресурс специалистов по аддитивным технологиям.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обеспечения кадрового резерва специалистов в отрасли аддитивных технологий в вузах Российской Федерации по направлению «Аддитивные технологии» ежегодно выпускается около 150 бакалавров.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Вместе с тем в настоящее время в Российской Федерации отсутствует утверждённый федеральный государственный образовательный стандарт по направлению «Аддитивные технологии».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Кадровой проблемой отрасли является неполное соответствие профессиональных компетенций работников предъявляемым квалификационным требованиям по всем существующим направлениям аддитивных технологий.</w:t>
      </w:r>
    </w:p>
    <w:p>
      <w:pPr>
        <w:pStyle w:val="ConsPlus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4"/>
        </w:numPr>
        <w:spacing w:lineRule="auto" w:line="240"/>
        <w:ind w:lef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Научно-техническое развитие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Созданный научно-технологический задел аддитивных технологий по базовым направлениям аддитивным технологий в основном соответствует предъявляемым требованиям и ориентирован на решение широкого спектра задач отрасли аддитивных технологий, а также применение в различных отраслях промышленности.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Имеется значительный потенциал роста, прежде всего в части профессионального и промышленного аддитивного оборудования.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Научно-исследовательский комплекс не в полной мере обеспечивает решение отраслевых задач.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24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Организация производства</w:t>
      </w:r>
    </w:p>
    <w:p>
      <w:pPr>
        <w:pStyle w:val="Normal"/>
        <w:widowControl w:val="false"/>
        <w:spacing w:lineRule="auto" w:line="360"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Производство аддитивного оборудования осуществляется преимущественно </w:t>
      </w:r>
      <w:r>
        <w:rPr>
          <w:rFonts w:cs="Times New Roman" w:ascii="Times New Roman" w:hAnsi="Times New Roman"/>
          <w:sz w:val="28"/>
          <w:szCs w:val="28"/>
          <w:lang w:val="en-US"/>
        </w:rPr>
        <w:t>c</w:t>
      </w:r>
      <w:r>
        <w:rPr>
          <w:rFonts w:cs="Times New Roman" w:ascii="Times New Roman" w:hAnsi="Times New Roman"/>
          <w:sz w:val="28"/>
          <w:szCs w:val="28"/>
        </w:rPr>
        <w:t xml:space="preserve"> использованием импортных комплектующих.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Основным проблемным вопросом производственно-технологического характера в отрасли остается мелкосерийное производство российского аддитивного оборудования и его комплектующих, что оказывает существенное влияние на освоение производства конкурентоспособной аддитивной продукции и в ряде случаев делает невозможным создание рентабельного производства аддитивного оборудования. 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Имеются проблемы обеспечения организаций аддитивной промышленности отдельными видами материалов и комплектующих для аддитивного производства.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360" w:before="24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Вызовы развития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Аддитивное производство функционирует в условиях ряда критических факторов внешней среды.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политической сфере наблюдается переход к многополярному миру на фоне усиления террористических и военных угроз, включая новые типы военных конфликтов.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Экономическая сфера характеризуется высокой конкуренцией, сменой факторов экономического роста и изменением экономических моделей. Растет ресурсоемкость освоения новых технологических уровней в отрасли аддитивных технологий.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Действуют санкции и запреты на доступ к зарубежным технологиям, оборудованию и материалам. Это усложняет реализацию бизнес-процессов в отрасли, производство современной конкурентоспособной аддитивной продукции.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Рынки продукции отрасли аддитивных технологий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widowControl w:val="false"/>
        <w:numPr>
          <w:ilvl w:val="0"/>
          <w:numId w:val="5"/>
        </w:numPr>
        <w:spacing w:lineRule="auto" w:line="360" w:before="0" w:after="0"/>
        <w:ind w:left="0" w:hanging="0"/>
        <w:contextualSpacing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Основные рынки для отрасли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Основные рынки аддитивных технологий можно разделить на 3 категории: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традиционные рынки - сформировавшиеся и технологически зрелые рынки;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новые рынки - новые сегменты традиционных рынков, проходящие стадии активного роста, формирования собственной структуры и, как следствие, постепенного выделения в качестве самостоятельных рынков;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формирующиеся рынки будущего - технологии и решения, не сформированные в качестве отдельных рынков, но потенциально способные обеспечить значительный объем потребления в перспективе.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 перспективным традиционным рынкам применения, выделяемым </w:t>
        <w:br/>
        <w:t xml:space="preserve">в производственном процессе, относятся </w:t>
      </w:r>
      <w:r>
        <w:rPr>
          <w:rFonts w:cs="Times New Roman" w:ascii="Times New Roman" w:hAnsi="Times New Roman"/>
          <w:sz w:val="28"/>
          <w:szCs w:val="28"/>
        </w:rPr>
        <w:t>оснастка, формы и модели для литья,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прототипирование, научно - исследовательские и опытно - конструкторские работы, изготовление экспериментальных образцов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 новым рынкам, выделяемым в производственном процессе, относится изготовление серийного производства полнофункциональных аналогов деталей </w:t>
        <w:br/>
        <w:t xml:space="preserve">и промышленной продукции, а также производства промышленной продукции </w:t>
        <w:br/>
        <w:t>с характеристиками, труднореализуемыми традиционным методами производства.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формирующимся рынкам будущего относятся 3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d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печать зданий, 3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d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печать электронных комплектующих, 3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d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биопечать органов,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3</w:t>
      </w:r>
      <w:r>
        <w:rPr>
          <w:rFonts w:cs="Times New Roman" w:ascii="Times New Roman" w:hAnsi="Times New Roman"/>
          <w:sz w:val="28"/>
          <w:szCs w:val="28"/>
          <w:shd w:fill="FFFFFF" w:val="clear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биопечать лекарств, </w:t>
        <w:br/>
        <w:t>3</w:t>
      </w:r>
      <w:r>
        <w:rPr>
          <w:rFonts w:cs="Times New Roman" w:ascii="Times New Roman" w:hAnsi="Times New Roman"/>
          <w:sz w:val="28"/>
          <w:szCs w:val="28"/>
          <w:shd w:fill="FFFFFF" w:val="clear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биопечать пищевых продуктов, автономное производство в космосе, изготовление серийного производства крупногабаритных полнофункциональных аналогов деталей и промышленной продукции.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ListParagraph"/>
        <w:widowControl w:val="false"/>
        <w:numPr>
          <w:ilvl w:val="0"/>
          <w:numId w:val="5"/>
        </w:numPr>
        <w:tabs>
          <w:tab w:val="left" w:pos="851" w:leader="none"/>
        </w:tabs>
        <w:spacing w:lineRule="auto" w:line="240"/>
        <w:ind w:left="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Специализированное Аддитивное оборудование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Приоритетом развития специализированного аддитивного оборудования является обеспечение необходимого качества, разрабатываемого и изготавливаемого аддитивного оборудования для решения конкретных задач в отраслях промышленности.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Рост объема рынка специализированного аддитивного оборудования обуславливается увеличением перечня задач, решаемых аддитивным оборудованием, и появлением новых типов материалов для аддитивного производства. 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Производственные и технологические возможности организаций, осуществляющие производство специализированного аддитивного оборудования, должны обеспечить его создание, производство, ремонт и сервисное обслуживание.</w:t>
      </w:r>
    </w:p>
    <w:p>
      <w:pPr>
        <w:pStyle w:val="ListParagraph"/>
        <w:numPr>
          <w:ilvl w:val="0"/>
          <w:numId w:val="5"/>
        </w:numPr>
        <w:spacing w:lineRule="auto" w:line="360" w:before="24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Универсальное Аддитивное оборудование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Универсальное аддитивное оборудование должно обеспечивать стандартизированные решения широкого спектра базовых задач отрасли аддитивных технологий, а также повышать конкурентоспособность смежных отраслей промышленности.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Рост</w:t>
      </w:r>
      <w:r>
        <w:rPr>
          <w:rFonts w:cs="Times New Roman" w:ascii="Times New Roman" w:hAnsi="Times New Roman"/>
          <w:sz w:val="28"/>
          <w:szCs w:val="28"/>
        </w:rPr>
        <w:t xml:space="preserve"> объема рынка универсального аддитивного оборудования обуславливается уменьшением стоимости и упрощением использования аддитивного оборудования.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Наблюдается тренд на стандартизацию аддитивного оборудования различных производителей универсального аддитивного оборудования.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Ключевые ценности развития отрасли</w:t>
      </w:r>
    </w:p>
    <w:p>
      <w:pPr>
        <w:pStyle w:val="ListParagraph"/>
        <w:numPr>
          <w:ilvl w:val="0"/>
          <w:numId w:val="6"/>
        </w:numPr>
        <w:spacing w:lineRule="auto" w:line="360" w:before="24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Ценности - ориентиры для Стратегии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основу Стратегии заложены следующие основные ценности: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способность отрасли реализовывать задачи национального развития;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прорыв в научно-технологическом и экономическом аспектах с учётом приоритета капитализации и инновационного развития отрасли;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способность отрасли увеличить эффективность производства предприятий промышленности за счет внедрения методов аддитивного производства </w:t>
        <w:br/>
        <w:t>в производственный цикл изготовления продукции;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консолидация ресурсов для реализации комплексных проектов в области аддитивных технологий и выпуска конечной продукции с учетом приоритета обеспечения участия организаций с частным капиталом, малого и среднего бизнеса.</w:t>
      </w:r>
    </w:p>
    <w:p>
      <w:pPr>
        <w:pStyle w:val="ListParagraph"/>
        <w:numPr>
          <w:ilvl w:val="0"/>
          <w:numId w:val="6"/>
        </w:numPr>
        <w:spacing w:lineRule="auto" w:line="360" w:before="24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Вклад отрасли в реализацию национальных целей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Отрасль играет важную роль в достижении национальных целей </w:t>
        <w:br/>
        <w:t xml:space="preserve">и стратегических задач развития Российской Федерации, установленных </w:t>
      </w:r>
      <w:hyperlink r:id="rId4">
        <w:r>
          <w:rPr>
            <w:rStyle w:val="Style14"/>
            <w:rFonts w:cs="Times New Roman" w:ascii="Times New Roman" w:hAnsi="Times New Roman"/>
            <w:sz w:val="28"/>
            <w:szCs w:val="28"/>
          </w:rPr>
          <w:t>Указом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Президента Российской Федерации от 7 мая 2018 г. № 204 «О национальных целях </w:t>
        <w:br/>
        <w:t xml:space="preserve">и стратегических задачах развития Российской Федерации на период до 2024 года», Указом Президента Российской Федерации от 21 июля 2020 г. № 474 </w:t>
        <w:br/>
        <w:t xml:space="preserve">«О национальных целях развития Российской Федерации на период до 2030 года», </w:t>
        <w:br/>
        <w:t xml:space="preserve">и вносит существенный вклад в ускорение технологического развития Российской Федерации, увеличение количества организаций, осуществляющих технологические инновации, создание в промышленности высокопроизводительного экспортно-ориентированного сектора, развивающегося на основе современных технологий </w:t>
        <w:br/>
        <w:t>и обеспеченного высококвалифицированными кадрами.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Ежегодный темп роста мирового рынка аддитивных технологий составляет </w:t>
        <w:br/>
        <w:t>15 процентов и оказывает влияние на рост мировой экономики. Необходимо использовать общемировую тенденцию роста влияния аддитивных технологий на рост внутреннего валового продукта.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Развитие отрасли аддитивных технологий имеет мощный экономический </w:t>
        <w:br/>
        <w:t xml:space="preserve">и технологический эффект, который приведет к значительному удешевлению </w:t>
        <w:br/>
        <w:t>и ускорению производства конечной продукции при сохранении и/или улучшении качественных и тактико-технических характеристик продукции, увеличению объемов производства, продвижению новых технологий для внедрения в российских организациях и предприятиях. Развитие отрасли обеспечивает рынок труда для разработчиков, программистов и конструкторов средств аддитивного производства на долгосрочный период.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sz w:val="28"/>
          <w:szCs w:val="28"/>
          <w:lang w:eastAsia="en-US"/>
        </w:rPr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V. Цели, задачи, приоритеты и целевые индикаторы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реализации Стратегии</w:t>
      </w:r>
    </w:p>
    <w:p>
      <w:pPr>
        <w:pStyle w:val="ListParagraph"/>
        <w:numPr>
          <w:ilvl w:val="0"/>
          <w:numId w:val="8"/>
        </w:numPr>
        <w:spacing w:lineRule="auto" w:line="240" w:before="0" w:after="160"/>
        <w:ind w:left="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Цель, ключевые направления и задачи развития отрасли аддитивных технологий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Целью развития отрасли аддитивных технологий является обеспечение роста объема российского рынка аддитивных технологий к 2030 году до 3 959,4 млн рублей. Основными направлениями развития отрасли должны стать создание конкурентоспособного аддитивного оборудования и материалов на базе российских технических решений и программного обеспечения, обеспечивающего реализацию национальных проектов, а также доминирование на внутреннем рынке аддитивных технологий. При этом объем экспорта аддитивных технологий должен увеличиться до 35,3 млн рублей.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Целевыми значениями показателей развития отрасли к 2030 году являются: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объем российского рынка аддитивного оборудования и комплектующих, составил 2 686,8 млн рублей;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объем продаж российских компаний на внутреннем рынке аддитивного оборудования и комплектующих составил 1 070,5 млн рублей.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Достижение указанной цели и целевых значений показателей развития отрасли будет обеспечено за счет комплексного решения задач по ключевым направлениям развития отрасли аддитивных технологий, а также специализированных задач </w:t>
        <w:br/>
        <w:t>в интересах различных отраслей промышленности.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Основные задачи развития отрасли аддитивных технологий: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ключевому направлению «Научно-техническое развитие» – обеспечить развитие и импортонезависимость аддитивного оборудования и материалов </w:t>
        <w:br/>
        <w:t>по направлениям критически значимым для национальных интересов и перспективным с точки зрения обеспечения лидирующих позиций;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ключевому направлению «Производство» – обеспечить требуемую материально-техническую базу ключевых процессов разработки, производства </w:t>
        <w:br/>
        <w:t>и сервисного обслуживания аддитивного оборудования и материалов;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ключевому направлению «Отраслевые стандарты» – обеспечить конкурентоспособность отрасли аддитивных технологий через инструменты технического и отраслевого регулирования;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ключевому направлению «Кадры» – ликвидировать кадровые проблемы, препятствующие достижению цели развития отрасли аддитивных технологий;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ключевому направлению «Кооперация» – обеспечить эффективность технологических процессов отрасли аддитивных технологий за счет разделения труда и комплексного планирования работ;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ключевому направлению «Экономическая эффективность» – обеспечить информационную базу (аналитика и ситуационный прогноз) для принятия решений, а также обеспечить создание и вывод на рынки востребованного и конкурентоспособного аддитивного оборудования, услуг и материалов отрасли аддитивных технологий.</w:t>
      </w:r>
    </w:p>
    <w:p>
      <w:pPr>
        <w:pStyle w:val="ConsPlusNormal"/>
        <w:numPr>
          <w:ilvl w:val="0"/>
          <w:numId w:val="8"/>
        </w:numPr>
        <w:spacing w:lineRule="auto" w:line="360" w:before="240" w:after="160"/>
        <w:ind w:lef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Мероприятия и целевые индикаторы реализации Стратегии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части ключевого направления «Научно-техническое развитие» планируется разработать и промышленно освоить ключевые аддитивные технологии:</w:t>
      </w:r>
    </w:p>
    <w:p>
      <w:pPr>
        <w:pStyle w:val="Default"/>
        <w:spacing w:lineRule="auto" w:line="360"/>
        <w:ind w:firstLine="709"/>
        <w:jc w:val="both"/>
        <w:rPr>
          <w:rFonts w:eastAsia="游明朝" w:eastAsiaTheme="minorEastAsia"/>
          <w:color w:val="00000A"/>
          <w:sz w:val="28"/>
          <w:szCs w:val="28"/>
        </w:rPr>
      </w:pPr>
      <w:r>
        <w:rPr>
          <w:rFonts w:eastAsia="游明朝" w:eastAsiaTheme="minorEastAsia"/>
          <w:color w:val="00000A"/>
          <w:sz w:val="28"/>
          <w:szCs w:val="28"/>
        </w:rPr>
        <w:t xml:space="preserve">печати изделий методом селективного лазерного сплавления, микроволнового, излучения, электроннолучевого плавления, прямого выращивания с различными источниками энергии, плазменного выращивания и дуговых процессов;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производства универсальных материалов (в том числе металлических </w:t>
        <w:br/>
        <w:t>и интерметаллидных) для аддитивного производства изделий со сложной геометрией;</w:t>
      </w:r>
    </w:p>
    <w:p>
      <w:pPr>
        <w:pStyle w:val="Default"/>
        <w:spacing w:lineRule="auto" w:line="360"/>
        <w:ind w:firstLine="709"/>
        <w:jc w:val="both"/>
        <w:rPr>
          <w:rFonts w:eastAsia="游明朝" w:eastAsiaTheme="minorEastAsia"/>
          <w:color w:val="00000A"/>
          <w:sz w:val="28"/>
          <w:szCs w:val="28"/>
        </w:rPr>
      </w:pPr>
      <w:r>
        <w:rPr>
          <w:rFonts w:eastAsia="游明朝" w:eastAsiaTheme="minorEastAsia"/>
          <w:color w:val="00000A"/>
          <w:sz w:val="28"/>
          <w:szCs w:val="28"/>
        </w:rPr>
        <w:t xml:space="preserve">печати и последующей обработки изделий медицинского применения (включая медицинские инструменты, изделия для имплантации, ортопедии, хирургии, протезирования и общемедицинского применения); </w:t>
      </w:r>
    </w:p>
    <w:p>
      <w:pPr>
        <w:pStyle w:val="Default"/>
        <w:spacing w:lineRule="auto" w:line="360"/>
        <w:ind w:firstLine="709"/>
        <w:jc w:val="both"/>
        <w:rPr>
          <w:rFonts w:eastAsia="游明朝" w:eastAsiaTheme="minorEastAsia"/>
          <w:color w:val="00000A"/>
          <w:sz w:val="28"/>
          <w:szCs w:val="28"/>
        </w:rPr>
      </w:pPr>
      <w:r>
        <w:rPr>
          <w:rFonts w:eastAsia="游明朝" w:eastAsiaTheme="minorEastAsia"/>
          <w:color w:val="00000A"/>
          <w:sz w:val="28"/>
          <w:szCs w:val="28"/>
        </w:rPr>
        <w:t xml:space="preserve">печати особо ответственных изделий, в том числе для авиационно-космической атомной и радиоэлектронной промышленности с обеспечением гарантированного уровня свойств; </w:t>
      </w:r>
    </w:p>
    <w:p>
      <w:pPr>
        <w:pStyle w:val="Default"/>
        <w:spacing w:lineRule="auto" w:line="360"/>
        <w:ind w:firstLine="709"/>
        <w:jc w:val="both"/>
        <w:rPr>
          <w:rFonts w:eastAsia="游明朝" w:eastAsiaTheme="minorEastAsia"/>
          <w:color w:val="00000A"/>
          <w:sz w:val="28"/>
          <w:szCs w:val="28"/>
        </w:rPr>
      </w:pPr>
      <w:r>
        <w:rPr>
          <w:rFonts w:eastAsia="游明朝" w:eastAsiaTheme="minorEastAsia"/>
          <w:color w:val="00000A"/>
          <w:sz w:val="28"/>
          <w:szCs w:val="28"/>
        </w:rPr>
        <w:t xml:space="preserve">синтеза изделий со сложной геометрией и их последующей обработки </w:t>
        <w:br/>
        <w:t>с обеспечением гарантированного уровня свойств;</w:t>
      </w:r>
    </w:p>
    <w:p>
      <w:pPr>
        <w:pStyle w:val="Default"/>
        <w:spacing w:lineRule="auto" w:line="360"/>
        <w:ind w:firstLine="709"/>
        <w:jc w:val="both"/>
        <w:rPr>
          <w:rFonts w:eastAsia="游明朝" w:eastAsiaTheme="minorEastAsia"/>
          <w:color w:val="00000A"/>
          <w:sz w:val="28"/>
          <w:szCs w:val="28"/>
        </w:rPr>
      </w:pPr>
      <w:r>
        <w:rPr>
          <w:rFonts w:eastAsia="游明朝" w:eastAsiaTheme="minorEastAsia"/>
          <w:color w:val="00000A"/>
          <w:sz w:val="28"/>
          <w:szCs w:val="28"/>
        </w:rPr>
        <w:t xml:space="preserve">создания крупногабаритных металлических изделий диаметром более 1 метра из различных источников сырья (порошок, проволока, легкосплавные материалы </w:t>
        <w:br/>
        <w:t>и т.д.);</w:t>
      </w:r>
    </w:p>
    <w:p>
      <w:pPr>
        <w:pStyle w:val="Default"/>
        <w:spacing w:lineRule="auto" w:line="360"/>
        <w:ind w:firstLine="709"/>
        <w:jc w:val="both"/>
        <w:rPr>
          <w:rFonts w:eastAsia="游明朝" w:eastAsiaTheme="minorEastAsia"/>
          <w:color w:val="00000A"/>
          <w:sz w:val="28"/>
          <w:szCs w:val="28"/>
        </w:rPr>
      </w:pPr>
      <w:r>
        <w:rPr>
          <w:rFonts w:eastAsia="游明朝" w:eastAsiaTheme="minorEastAsia"/>
          <w:color w:val="00000A"/>
          <w:sz w:val="28"/>
          <w:szCs w:val="28"/>
        </w:rPr>
        <w:t xml:space="preserve">производства различных материалов для аддитивного производства </w:t>
        <w:br/>
        <w:t>в различных формах (прутка, порошка, филамента и т.д.);</w:t>
      </w:r>
    </w:p>
    <w:p>
      <w:pPr>
        <w:pStyle w:val="Default"/>
        <w:spacing w:lineRule="auto" w:line="360"/>
        <w:ind w:firstLine="709"/>
        <w:jc w:val="both"/>
        <w:rPr>
          <w:rFonts w:eastAsia="游明朝" w:eastAsiaTheme="minorEastAsia"/>
          <w:color w:val="00000A"/>
          <w:sz w:val="28"/>
          <w:szCs w:val="28"/>
        </w:rPr>
      </w:pPr>
      <w:r>
        <w:rPr>
          <w:rFonts w:eastAsia="游明朝" w:eastAsiaTheme="minorEastAsia"/>
          <w:color w:val="00000A"/>
          <w:sz w:val="28"/>
          <w:szCs w:val="28"/>
        </w:rPr>
        <w:t>систем прогнозирования, мониторинга и моделирования процесса синтеза изделий в аддитивном производстве;</w:t>
      </w:r>
    </w:p>
    <w:p>
      <w:pPr>
        <w:pStyle w:val="Default"/>
        <w:spacing w:lineRule="auto" w:line="360"/>
        <w:ind w:firstLine="709"/>
        <w:jc w:val="both"/>
        <w:rPr>
          <w:rFonts w:eastAsia="游明朝" w:eastAsiaTheme="minorEastAsia"/>
          <w:color w:val="00000A"/>
          <w:sz w:val="28"/>
          <w:szCs w:val="28"/>
        </w:rPr>
      </w:pPr>
      <w:r>
        <w:rPr>
          <w:sz w:val="28"/>
          <w:szCs w:val="28"/>
        </w:rPr>
        <w:t>реализации</w:t>
      </w:r>
      <w:r>
        <w:rPr>
          <w:rFonts w:eastAsia="游明朝" w:eastAsiaTheme="minorEastAsia"/>
          <w:color w:val="00000A"/>
          <w:sz w:val="28"/>
          <w:szCs w:val="28"/>
        </w:rPr>
        <w:t xml:space="preserve"> биопечати (печати биологических объектов, компонентов </w:t>
        <w:br/>
        <w:t>и тканей);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постобработки изделий аддитивного производства, в том числе для обработки внутренних поверхностей и каналов, термической и термомеханической, горячей изостатической обработки;</w:t>
      </w:r>
    </w:p>
    <w:p>
      <w:pPr>
        <w:pStyle w:val="ListParagraph"/>
        <w:spacing w:lineRule="auto" w:line="36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реализации концепции автономного производства в космосе (создание конструкций из металла в космическом пространстве и в условиях напланетной инфраструктуры, печать зданий для напланетных баз из реголита, аддитивные технологии для добычи полезных ископаемых, 3д-биопечать в условиях открытого космоса и напланетных баз);</w:t>
      </w:r>
    </w:p>
    <w:p>
      <w:pPr>
        <w:pStyle w:val="ListParagraph"/>
        <w:spacing w:lineRule="auto" w:line="36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автоматизированного ремонта изделий методами аддитивных технологий </w:t>
        <w:br/>
        <w:t>(в том числе с применением технологий машинного зрение и обучения);</w:t>
      </w:r>
    </w:p>
    <w:p>
      <w:pPr>
        <w:pStyle w:val="ListParagraph"/>
        <w:spacing w:lineRule="auto" w:line="36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автоматизированного возведения жилых домов, зданий и других объектов, </w:t>
        <w:br/>
        <w:t>а также изделий строительного назначения.</w:t>
      </w:r>
    </w:p>
    <w:p>
      <w:pPr>
        <w:pStyle w:val="ListParagraph"/>
        <w:spacing w:lineRule="auto" w:line="36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Необходимо внедрить практику постоянной актуализации перечня перспективных аддитивных технологий в формате ежегодного отраслевого технологического прогноза.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части ключевого направления «Производство» планируется создать: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серийное производство на территории России комплектующих для аддитивного оборудования (оптических сканаторов, лазеров, систем контроля и т.д.);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серийное производства материалов (в том числе металлических </w:t>
        <w:br/>
        <w:t>и интерметаллидных) для аддитивного производства;</w:t>
      </w:r>
    </w:p>
    <w:p>
      <w:pPr>
        <w:pStyle w:val="Default"/>
        <w:spacing w:lineRule="auto" w:line="360"/>
        <w:ind w:firstLine="709"/>
        <w:jc w:val="both"/>
        <w:rPr>
          <w:rFonts w:eastAsia="游明朝" w:eastAsiaTheme="minorEastAsia"/>
          <w:color w:val="00000A"/>
          <w:sz w:val="28"/>
          <w:szCs w:val="28"/>
        </w:rPr>
      </w:pPr>
      <w:r>
        <w:rPr>
          <w:sz w:val="28"/>
          <w:szCs w:val="28"/>
        </w:rPr>
        <w:t xml:space="preserve">серийное производство оборудования для печати изделий аддитивными методами производства, включая оборудование для печати по технологиям селективного лазерного сплавления, лазерной стереолитографии, порошковой струйной печати, многоструйного сплавления, микроволнового излучения электронно-лучевого плавления, прямого выращивания, </w:t>
      </w:r>
      <w:r>
        <w:rPr>
          <w:rFonts w:eastAsia="游明朝" w:eastAsiaTheme="minorEastAsia"/>
          <w:color w:val="00000A"/>
          <w:sz w:val="28"/>
          <w:szCs w:val="28"/>
        </w:rPr>
        <w:t xml:space="preserve">плазменного выращивания и дуговых процессов; </w:t>
      </w:r>
    </w:p>
    <w:p>
      <w:pPr>
        <w:pStyle w:val="Default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серийное производство оборудования для постобработки изделий аддитивного производства;</w:t>
      </w:r>
    </w:p>
    <w:p>
      <w:pPr>
        <w:pStyle w:val="Default"/>
        <w:spacing w:lineRule="auto" w:line="360"/>
        <w:ind w:firstLine="709"/>
        <w:jc w:val="both"/>
        <w:rPr>
          <w:rFonts w:eastAsia="游明朝" w:eastAsiaTheme="minorEastAsia"/>
          <w:color w:val="00000A"/>
          <w:sz w:val="28"/>
          <w:szCs w:val="28"/>
        </w:rPr>
      </w:pPr>
      <w:r>
        <w:rPr>
          <w:sz w:val="28"/>
          <w:szCs w:val="28"/>
        </w:rPr>
        <w:t>серийное производство оборудования для ремонта изделий методами аддитивных технологий;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серийное производство оборудования для изготовления, физико-механической обработки, рециклинга, восстановления и утилизации металлических порошков для 3D-печати;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серийное производство оборудования для неразрушающего контроля деталей и изделий, изготовленных на аддитивном оборудовании;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серийное производство оборудования для строительной 3D печати.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Необходимо обеспечить локализацию изготовления материалов для аддитивного оборудования, самого аддитивного оборудования и его компонентов.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части ключевого направления «Отраслевые стандарты» предусматривается: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модернизировать отраслевую систему стандартов в соответствии с существующими и перспективными международными требованиями к аддитивному оборудованию, аддитивными технологиями, организационным процессам;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обеспечить разработку по перспективным видам аддитивного оборудования национальных стандартов с последующей их трансформацией в международные.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части ключевого направления «Кадры» предусматривается: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повысить привлекательность отрасли для профессиональных кадров, молодежного кадрового резерва и завершающих подготовку в учебных заведениях;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внедрить средне- и долгосрочное планирование, ежегодный мониторинг кадровых потребностей отрасли аддитивных технологий;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реализовать комплекс мер по актуализации, разработке и дальнейшему развитию системы профессиональных и образовательных стандартов.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части ключевого направления «Кооперация» предусматривается: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расширить использование производственных, научных и инженерных ресурсов, привлекаемых по кооперации отраслевыми организациями, включая партнерство с иностранными компаниями;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повысить информированность о существующих кооперационных, производственных и инженерных возможностях, в том числе за счет использования цифровых платформ;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исключить регуляторные и организационные барьеры, препятствующие развитию кооперации.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части ключевого направления «Экономическая эффективность» предусматривается: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обеспечить участие отрасли в реализации мероприятий национальных и федеральных проектов и программ;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внедрить практику регулярного анализа и прогноза развития рынков аддитивных технологий в интересах системного планирования развития отрасли;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стимулировать спрос на аддитивное оборудование российского производства;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обеспечить государственную поддержку приоритетных отраслевых проектов и формирование производственных консорциумов;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обеспечить вывод аддитивного оборудования российского производства на мировые рынки, в том числе по линии поддержки экспорта;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изменения (при необходимости) в подзаконные акты в сфере действия федеральных законов «О контрактной системе в сфере закупок товаров, работ, услуг для обеспечения государственных и муниципальных нужд» и «О закупках товаров, работ, услуг отдельными видами юридических лиц» с учетом динамики развития аддитивных технологий и необходимости обеспечения приоритетного использования российского аддитивного оборудования;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обеспечить вовлечение основных государственных заказчиков и организаций с государственным участием в долгосрочное планирование развития отрасли;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исключить регуляторные и организационные барьеры, препятствующие развитию экспорта;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обеспечить использование российских аддитивных технологий в наиболее перспективных сферах;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обеспечить внедрение актуальных бизнес-моделей в отрасли аддитивных технологий;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сформировать и развить отраслевые базы данных, в том числе производителей и экспортеров отечественного аддитивного оборудования, компетенций </w:t>
        <w:br/>
        <w:t>и мощностей, технологических решений, а также результатов испытаний образцов изделий, произведенных с помощью методов аддитивного производства, свойств материалов для аддитивного производства и изделий из них.</w:t>
      </w:r>
    </w:p>
    <w:p>
      <w:pPr>
        <w:pStyle w:val="Normal"/>
        <w:spacing w:lineRule="auto" w:line="240" w:before="0" w:after="0"/>
        <w:jc w:val="center"/>
        <w:rPr/>
      </w:pPr>
      <w:hyperlink r:id="rId5">
        <w:r>
          <w:rPr>
            <w:rStyle w:val="Style14"/>
            <w:rFonts w:cs="Times New Roman" w:ascii="Times New Roman" w:hAnsi="Times New Roman"/>
            <w:b/>
            <w:sz w:val="28"/>
            <w:szCs w:val="28"/>
          </w:rPr>
          <w:t>VI. Сценарии развития отрасли</w:t>
        </w:r>
      </w:hyperlink>
      <w:r>
        <w:rPr>
          <w:rFonts w:cs="Times New Roman" w:ascii="Times New Roman" w:hAnsi="Times New Roman"/>
          <w:b/>
          <w:sz w:val="28"/>
          <w:szCs w:val="28"/>
        </w:rPr>
        <w:t xml:space="preserve"> аддитивных технологий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отрасли тесно связано с развитием российской экономики. В качестве основы для формирования сценариев развития отрасли использованы основные параметры прогноза социально-экономического развития страны. Исходя из макроэкономических и отраслевых предпосылок рассматриваются 3 сценария развития отрасли аддитивных технологий - консервативный, целевой и инновационный. В Стратегии за основу берется целевой сценарий развития отрасли аддитивных технологий.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Консервативный сценарий характеризуется умеренным долгосрочным ростом экономики Российской Федерации на уровне 2,8 - 3 процентов в год. При этом модернизация экономики опирается в большей степени на импортируемые технологии. В связи с этим значительно повысятся риски неисполнения договорных обязательств компаниями из-за санкций, блокирующих свободу приобретения критически важных для установок аддитивного производства узлов и комплектующих. Дополнительно снизится скорость развития отрасли аддитивных технологий.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Целевой сценарий характеризуется стабильной ситуацией на внутреннем рынке и среднегодовым ростом российской экономики на уровне 3,1 - 3,2 процента. Государство будет сокращать низкоэффективные затраты и перераспределять высвободившиеся средства на инвестиционные цели. Дополнительные инвестиции ускорят разработку, изготовление и аддитивного оборудования; разработку и изготовление материалов для аддитивного производства. Целевой сценарий предполагает активное импортозамещение, что будет стимулировать разработку новой продукции отрасли с приоритетом проектов, имеющих большое значение для инфраструктуры и обладающих экспортным потенциалом.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Инновационный сценарий предполагает форсированный рост российской экономики на уровне 3,4 - 3,6 процента. Такой сценарий будет характеризоваться нарастанием технологической конкурентоспособности. При этом, несмотря на увеличение экспорта, развитие отрасли будет больше ориентировано на внутренний спрос.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Для каждого сценарного прогноза закладывается среднегодовой темп роста курса национальной валюты с 2020 года: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в консервативном сценарии - до 1 процента в год;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в целевом сценарии - 2 - 3 процента в год;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в инновационном сценарии - 3 - 4 процента в год.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Целевые значения показателей развития отрасли аддитивных технологий при реализации различных сценариев социально-экономического развития страны представлены в приложении № 1.</w:t>
      </w:r>
    </w:p>
    <w:p>
      <w:pPr>
        <w:pStyle w:val="ConsPlusNormal"/>
        <w:spacing w:lineRule="auto" w:line="360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sz w:val="28"/>
          <w:szCs w:val="28"/>
          <w:lang w:eastAsia="en-US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VII. Подходы к реализации Стратегии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Этапы реализации Стратегии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Стратегия реализуется в рамках, следующих 3 этапов.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Первый этап (2020 - 2022 годы) включает: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увеличение доли российского аддитивного оборудования, услуг и материалов отрасли аддитивных технологий на внутреннем рынке в основном за счет традиционных рынков и участия в реализации национальных проектах;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нормативной базы сертификации и стандартизации для внедрения аддитивных технологий в производственные процессы;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нормативной базы для применения, контроля качества и приёмки продукции и материалов, изготовленных с применением аддитивных технологий;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подготовку активного продвижения на международные рынки, включая такие аспекты, как технологический базис, правила игры, бизнес-модели, продуктово-сервисные предложения, диверсификация инвестиций.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Второй этап (2023 - 2025 годы) включает продвижение российской продукции и услуг отрасли аддитивных технологий на существующие рынки и выход на новые международные рынки, включая комплексные предложения и партнерства </w:t>
        <w:br/>
        <w:t>с иностранными партнерами, а также увеличение масштабов инвестиционных проектов.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Третий этап (2026 - 2030 годы) включает: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устойчивый рост отрасли аддитивных технологий и обеспечение </w:t>
        <w:br/>
        <w:t>ее лидирующих позиций на перспективных рынках;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обеспечение глобального технологического лидерства и акцент </w:t>
        <w:br/>
        <w:t>на приоритетных аспектах развития.</w:t>
      </w:r>
    </w:p>
    <w:p>
      <w:pPr>
        <w:pStyle w:val="ListParagraph"/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Реализация Стратегии связана с наличием макроэкономических, социальных </w:t>
        <w:br/>
        <w:t xml:space="preserve">и операционных рисков. Меры по управлению рисками реализации Стратегии представлены в Приложении № 2. </w:t>
      </w:r>
    </w:p>
    <w:p>
      <w:pPr>
        <w:pStyle w:val="ListParagraph"/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12" w:hanging="12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Развитие структуры отрасли при реализации Стратегии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Основной вектор развития отрасли аддитивных технологий заключается </w:t>
        <w:br/>
        <w:t>в формировании следующих институтов, которые обеспечат достижение стратегических целей развития отрасли аддитивных технологий: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центры технологических компетенций - организации, владеющие результатами научно-исследовательских разработок в области использования аддитивных технологий для создания на их базе прикладных решений в области аддитивных технологий (могут быть самостоятельной организацией или структурным подразделением);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организации - отраслевые чемпионы - организации, обладающие технологиями создания продукции в рамках одного или нескольких приоритетных с точки зрения реализации Стратегии рынков, а также занимающие на данном рынке значительную долю;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центры коллективного проектирования - организационные единицы (организации или их подразделения), обеспеченные оборудованием и кадрами для осуществления этапов проектирования, прототипирования и тестирования изделий вплоть до передачи на фабрики конструкторской документации и иных материалов для серийного производства аддитивного оборудования, и продукции, произведенной методом аддитивного производства;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консорциумы - объединения научно-производственных, сбытовых организаций и потребителей, создаваемые для реализации проектов по разработке, производству, выводу на рынок и развитию аддитивного оборудования и продукции, произведенной методом аддитивного производства (в состав консорциума могут входить образовательные и научные организации, разработчики компонентной базы </w:t>
        <w:br/>
        <w:t xml:space="preserve">и программного обеспечения, производители изделий, институты развития, венчурные компании, потребители и иные заинтересованные организации, </w:t>
        <w:br/>
        <w:t>в том числе с иностранным участием);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стратегические альянсы;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центры технологических компетенций и организации - отраслевые чемпионы будут сформированы по всем перспективным технологическим направлениям. Организации - отраслевые чемпионы будут разрабатывать наиболее технологически сложные и капиталоемкие прикладные решения.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Центры технологических компетенций должны стать источником технологических решений для аддитивного оборудования. Центры технологических компетенций будут формироваться на базе высокотехнологичных и профильных образовательных организаций.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Создание консорциумов целесообразно в целях оказания фокусированной поддержки разработки продукции, конкурентные преимущества которой определяются использованием аддитивных технологий, а также производства </w:t>
        <w:br/>
        <w:t>и сервисного обслуживания аддитивного оборудования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консорциумы могут привлекаться иностранные производители с учетом интересов в области создания и локализации базовых технологий, изготовления компонентов, оборудования и материалов. Основными условиями участия </w:t>
        <w:br/>
        <w:t>в консорциумах иностранных организаций являются высокая степень локализации производства и передача российским резидентам прав на интеллектуальную собственность. Дополнительным условием вхождения в консорциум иностранного партнера является создание совместного предприятия с долей российских резидентов более 50 процентов.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VIII. Ресурсное обеспечение и источники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финансирования Стратегии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Источниками финансового обеспечения реализации Стратегии являются: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средства федерального бюджета, предусмотренные на реализацию государственных программ Российской Федерации;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средства федерального бюджета и внебюджетных источников финансирования, предусмотренные на реализацию национальных проектов (программ);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средства Фонда перспективных исследований, Фонда развития промышленности и других институтов развития;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средства бюджетов субъектов Российской Федерации;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ресурсы организаций, производящих аддитивное оборудование и материалы для аддитивных технологий;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средства частных инвесторов, в том числе в рамках реализации инвестиционных проектов с государственным участием;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средства иных участников хозяйственной деятельности.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Достижение цели и задач развития отрасли аддитивных технологий предполагает активное привлечение внебюджетных средств, что придает особое значение повышению инвестиционной привлекательности отрасли. Привлечение внебюджетных средств будет осуществляться в рамках отдельных проектов, реализуемых на принципах разделения рисков, инвестирования из внебюджетных источников, наличия у проекта коммерческого потенциала и востребованности соответствующей продукции на рынке. При этом общим принципом является снижение доли государственного участия по мере снижения рисков реализации Стратегии.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IX.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Мониторинг, контроль и управление реализацией Стратегии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Мониторинг реализации Стратегии базируется на данных отраслевого статистического наблюдения, отчетных материалах по выполнению плана мероприятий по реализации Стратегии, первичной информации от организаций, производящих аддитивное оборудование и материалы, аналитике научно-исследовательских организаций, а также на других официальных данных. Мониторинг реализации Стратегии ведется в течение всего периода ее действия </w:t>
        <w:br/>
        <w:t>и предполагает сбор, консолидацию и обработку количественной и качественной информации, в том числе и посредством государственной информационной системы промышленности.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 реализации Стратегии осуществляет Правительство Российской Федерации на основании доклада Министерства промышленности и торговли Российской Федерации по итогам года.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Координацию мониторинга реализации Стратегии осуществляет Министерство промышленности и торговли Российской Федерации.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Мониторинг реализации Стратегии осуществляет Министерство промышленности и торговли Российской, Государственная корпорация по атомной энергии «Росатом», Государственная корпорация по содействию разработке, производству и экспорту высокотехнологичной промышленной продукции «Ростех» с участием других федеральных органов исполнительной власти и организаций. </w:t>
        <w:br/>
        <w:t>По результатам мониторинга Министерство промышленности и торговли Российской Федерации осуществляет подготовку решений о корректировке задач и мероприятий Стратегии (при необходимости).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основе полученных результатов мониторинга Министерства промышленности и торговли Российской, Государственной корпорацией по атомной энергии «Росатом», Государственной корпорацией по содействию разработке, производству и экспорту высокотехнологичной промышленной продукции «Ростех» и других федеральных органов исполнительной власти и организаций Министерство промышленности и торговли Российской Федерации организует подготовку ежегодного доклада о ходе реализации Стратегии и направляет его Правительство Российской Федерации до 1 июня года, следующего за отчетным.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Доклад о ходе реализации Стратегии включает в себя: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аналитическую справку о реализации Стратегии;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 о конкретных результатах, в том числе о значениях целевых показателей, достигнутых за отчетный период, и об исполненных и неисполненных мероприятиях (с анализом причин неисполнения);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анализ факторов, повлиявших на ход реализации Стратегии;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данные об использованных бюджетных ассигнованиях на реализацию мероприятий государственных программ Российской Федерации, обеспечивающих реализацию Стратегии;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данные об объемах привлеченного в рамках реализации Стратегии внебюджетного финансирования, в том числе на принципах государственно-частного партнерства;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предложения о необходимости корректировки Стратегии.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Указанный доклад в части, не содержащей сведений, составляющих государственную, коммерческую, служебную и иную охраняемую законом тайну, размещается Министерством промышленности и торговли Российской Федерации на своем официальном сайте в информационно-телекоммуникационной сети «Интернет».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Положения Стратегии корректируются по мере уточнения ее приоритетов и изменения финансово-экономической и социальной ситуации.</w:t>
      </w:r>
    </w:p>
    <w:p>
      <w:pPr>
        <w:sectPr>
          <w:headerReference w:type="default" r:id="rId6"/>
          <w:headerReference w:type="first" r:id="rId7"/>
          <w:type w:val="nextPage"/>
          <w:pgSz w:w="11906" w:h="16838"/>
          <w:pgMar w:left="1134" w:right="567" w:header="709" w:top="1134" w:footer="0" w:bottom="1134" w:gutter="0"/>
          <w:pgNumType w:start="1" w:fmt="decimal"/>
          <w:formProt w:val="false"/>
          <w:titlePg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к Стратегии развития </w:t>
        <w:br/>
        <w:t>аддитивных технологий</w:t>
        <w:br/>
        <w:t xml:space="preserve"> на период до 2030 года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8"/>
          <w:szCs w:val="24"/>
        </w:rPr>
      </w:pPr>
      <w:r>
        <w:rPr>
          <w:rFonts w:cs="Times New Roman" w:ascii="Times New Roman" w:hAnsi="Times New Roman"/>
          <w:sz w:val="8"/>
          <w:szCs w:val="24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ЦЕЛЕВЫЕ ЗНАЧЕНИЯ ПОКАЗАТЕЛЕЙ РАЗВИТИЯ АДДИТИВНЫХ ТЕХНОЛОГИЙ 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РОССИЙСКОЙ ФЕДЕРАЦИИ НА ПЕРИОД ДО 2030 ГОДА  </w:t>
      </w:r>
    </w:p>
    <w:p>
      <w:pPr>
        <w:pStyle w:val="ConsPlusTitle"/>
        <w:jc w:val="center"/>
        <w:rPr>
          <w:rFonts w:ascii="Times New Roman" w:hAnsi="Times New Roman" w:cs="Times New Roman"/>
          <w:sz w:val="14"/>
          <w:szCs w:val="28"/>
        </w:rPr>
      </w:pPr>
      <w:r>
        <w:rPr>
          <w:rFonts w:cs="Times New Roman" w:ascii="Times New Roman" w:hAnsi="Times New Roman"/>
          <w:sz w:val="14"/>
          <w:szCs w:val="28"/>
        </w:rPr>
      </w:r>
    </w:p>
    <w:tbl>
      <w:tblPr>
        <w:tblW w:w="15406" w:type="dxa"/>
        <w:jc w:val="left"/>
        <w:tblInd w:w="45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23"/>
        <w:gridCol w:w="1984"/>
        <w:gridCol w:w="850"/>
        <w:gridCol w:w="994"/>
        <w:gridCol w:w="850"/>
        <w:gridCol w:w="993"/>
        <w:gridCol w:w="993"/>
        <w:gridCol w:w="992"/>
        <w:gridCol w:w="851"/>
        <w:gridCol w:w="850"/>
        <w:gridCol w:w="851"/>
        <w:gridCol w:w="850"/>
        <w:gridCol w:w="992"/>
        <w:gridCol w:w="1132"/>
      </w:tblGrid>
      <w:tr>
        <w:trPr>
          <w:trHeight w:val="1107" w:hRule="atLeast"/>
        </w:trPr>
        <w:tc>
          <w:tcPr>
            <w:tcW w:w="222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8"/>
                <w:lang w:eastAsia="ru-RU"/>
              </w:rPr>
              <w:t>Сценарий (консервативный - К, целевой - Ц, инновационный - И)</w:t>
            </w:r>
          </w:p>
        </w:tc>
        <w:tc>
          <w:tcPr>
            <w:tcW w:w="85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8"/>
                <w:lang w:eastAsia="ru-RU"/>
              </w:rPr>
              <w:t>2019</w:t>
            </w:r>
          </w:p>
        </w:tc>
        <w:tc>
          <w:tcPr>
            <w:tcW w:w="994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8"/>
                <w:lang w:eastAsia="ru-RU"/>
              </w:rPr>
              <w:t>2020</w:t>
            </w:r>
          </w:p>
        </w:tc>
        <w:tc>
          <w:tcPr>
            <w:tcW w:w="85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8"/>
                <w:lang w:eastAsia="ru-RU"/>
              </w:rPr>
              <w:t>2021</w:t>
            </w:r>
          </w:p>
        </w:tc>
        <w:tc>
          <w:tcPr>
            <w:tcW w:w="993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8"/>
                <w:lang w:eastAsia="ru-RU"/>
              </w:rPr>
              <w:t>2022</w:t>
            </w:r>
          </w:p>
        </w:tc>
        <w:tc>
          <w:tcPr>
            <w:tcW w:w="993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8"/>
                <w:lang w:eastAsia="ru-RU"/>
              </w:rPr>
              <w:t>2023</w:t>
            </w:r>
          </w:p>
        </w:tc>
        <w:tc>
          <w:tcPr>
            <w:tcW w:w="992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8"/>
                <w:lang w:eastAsia="ru-RU"/>
              </w:rPr>
              <w:t>2024</w:t>
            </w:r>
          </w:p>
        </w:tc>
        <w:tc>
          <w:tcPr>
            <w:tcW w:w="851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8"/>
                <w:lang w:eastAsia="ru-RU"/>
              </w:rPr>
              <w:t>2025</w:t>
            </w:r>
          </w:p>
        </w:tc>
        <w:tc>
          <w:tcPr>
            <w:tcW w:w="85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8"/>
                <w:lang w:eastAsia="ru-RU"/>
              </w:rPr>
              <w:t>2026</w:t>
            </w:r>
          </w:p>
        </w:tc>
        <w:tc>
          <w:tcPr>
            <w:tcW w:w="851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8"/>
                <w:lang w:eastAsia="ru-RU"/>
              </w:rPr>
              <w:t>2027</w:t>
            </w:r>
          </w:p>
        </w:tc>
        <w:tc>
          <w:tcPr>
            <w:tcW w:w="85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8"/>
                <w:lang w:eastAsia="ru-RU"/>
              </w:rPr>
              <w:t>2028</w:t>
            </w:r>
          </w:p>
        </w:tc>
        <w:tc>
          <w:tcPr>
            <w:tcW w:w="992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8"/>
                <w:lang w:eastAsia="ru-RU"/>
              </w:rPr>
              <w:t>2029</w:t>
            </w:r>
          </w:p>
        </w:tc>
        <w:tc>
          <w:tcPr>
            <w:tcW w:w="1132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8"/>
                <w:lang w:eastAsia="ru-RU"/>
              </w:rPr>
              <w:t>2030</w:t>
            </w:r>
          </w:p>
        </w:tc>
      </w:tr>
      <w:tr>
        <w:trPr>
          <w:trHeight w:val="567" w:hRule="exact"/>
        </w:trPr>
        <w:tc>
          <w:tcPr>
            <w:tcW w:w="22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Объем российского рынка аддитивных технологий, млн руб</w:t>
            </w:r>
          </w:p>
        </w:tc>
        <w:tc>
          <w:tcPr>
            <w:tcW w:w="198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2 800,0</w:t>
            </w:r>
          </w:p>
        </w:tc>
        <w:tc>
          <w:tcPr>
            <w:tcW w:w="994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2 878,4</w:t>
            </w:r>
          </w:p>
        </w:tc>
        <w:tc>
          <w:tcPr>
            <w:tcW w:w="850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2 959,0</w:t>
            </w:r>
          </w:p>
        </w:tc>
        <w:tc>
          <w:tcPr>
            <w:tcW w:w="993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3 041,8</w:t>
            </w:r>
          </w:p>
        </w:tc>
        <w:tc>
          <w:tcPr>
            <w:tcW w:w="993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3 127,0</w:t>
            </w:r>
          </w:p>
        </w:tc>
        <w:tc>
          <w:tcPr>
            <w:tcW w:w="992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3 214,6</w:t>
            </w:r>
          </w:p>
        </w:tc>
        <w:tc>
          <w:tcPr>
            <w:tcW w:w="851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3 304,6</w:t>
            </w:r>
          </w:p>
        </w:tc>
        <w:tc>
          <w:tcPr>
            <w:tcW w:w="850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3 397,1</w:t>
            </w:r>
          </w:p>
        </w:tc>
        <w:tc>
          <w:tcPr>
            <w:tcW w:w="851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3 492,2</w:t>
            </w:r>
          </w:p>
        </w:tc>
        <w:tc>
          <w:tcPr>
            <w:tcW w:w="850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3 590,0</w:t>
            </w:r>
          </w:p>
        </w:tc>
        <w:tc>
          <w:tcPr>
            <w:tcW w:w="992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3 690,5</w:t>
            </w:r>
          </w:p>
        </w:tc>
        <w:tc>
          <w:tcPr>
            <w:tcW w:w="1132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3 793,9</w:t>
            </w:r>
          </w:p>
        </w:tc>
      </w:tr>
      <w:tr>
        <w:trPr>
          <w:trHeight w:val="567" w:hRule="exact"/>
        </w:trPr>
        <w:tc>
          <w:tcPr>
            <w:tcW w:w="2223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  <w:t>Ц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2 800,0</w:t>
            </w:r>
          </w:p>
        </w:tc>
        <w:tc>
          <w:tcPr>
            <w:tcW w:w="994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2 889,6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2 982,1</w:t>
            </w:r>
          </w:p>
        </w:tc>
        <w:tc>
          <w:tcPr>
            <w:tcW w:w="993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3 077,5</w:t>
            </w:r>
          </w:p>
        </w:tc>
        <w:tc>
          <w:tcPr>
            <w:tcW w:w="993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3 176,0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3 277,6</w:t>
            </w:r>
          </w:p>
        </w:tc>
        <w:tc>
          <w:tcPr>
            <w:tcW w:w="851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3 382,5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3 490,7</w:t>
            </w:r>
          </w:p>
        </w:tc>
        <w:tc>
          <w:tcPr>
            <w:tcW w:w="851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3 602,4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3 717,7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3 836,7</w:t>
            </w:r>
          </w:p>
        </w:tc>
        <w:tc>
          <w:tcPr>
            <w:tcW w:w="113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3 959,4</w:t>
            </w:r>
          </w:p>
        </w:tc>
      </w:tr>
      <w:tr>
        <w:trPr>
          <w:trHeight w:val="567" w:hRule="exact"/>
        </w:trPr>
        <w:tc>
          <w:tcPr>
            <w:tcW w:w="222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  <w:t>И</w:t>
            </w:r>
          </w:p>
        </w:tc>
        <w:tc>
          <w:tcPr>
            <w:tcW w:w="85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2 800,0</w:t>
            </w:r>
          </w:p>
        </w:tc>
        <w:tc>
          <w:tcPr>
            <w:tcW w:w="994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2 900,8</w:t>
            </w:r>
          </w:p>
        </w:tc>
        <w:tc>
          <w:tcPr>
            <w:tcW w:w="85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3 005,2</w:t>
            </w:r>
          </w:p>
        </w:tc>
        <w:tc>
          <w:tcPr>
            <w:tcW w:w="993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3 113,4</w:t>
            </w:r>
          </w:p>
        </w:tc>
        <w:tc>
          <w:tcPr>
            <w:tcW w:w="993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3 225,5</w:t>
            </w:r>
          </w:p>
        </w:tc>
        <w:tc>
          <w:tcPr>
            <w:tcW w:w="992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3 341,6</w:t>
            </w:r>
          </w:p>
        </w:tc>
        <w:tc>
          <w:tcPr>
            <w:tcW w:w="851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3 461,9</w:t>
            </w:r>
          </w:p>
        </w:tc>
        <w:tc>
          <w:tcPr>
            <w:tcW w:w="85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3 586,5</w:t>
            </w:r>
          </w:p>
        </w:tc>
        <w:tc>
          <w:tcPr>
            <w:tcW w:w="851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3 715,7</w:t>
            </w:r>
          </w:p>
        </w:tc>
        <w:tc>
          <w:tcPr>
            <w:tcW w:w="85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3 849,4</w:t>
            </w:r>
          </w:p>
        </w:tc>
        <w:tc>
          <w:tcPr>
            <w:tcW w:w="992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3 988,0</w:t>
            </w:r>
          </w:p>
        </w:tc>
        <w:tc>
          <w:tcPr>
            <w:tcW w:w="113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4 131,6</w:t>
            </w:r>
          </w:p>
        </w:tc>
      </w:tr>
      <w:tr>
        <w:trPr>
          <w:trHeight w:val="567" w:hRule="exact"/>
        </w:trPr>
        <w:tc>
          <w:tcPr>
            <w:tcW w:w="22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Объем российского рынка аддитивного оборудования и комплектующих, млн руб</w:t>
            </w:r>
          </w:p>
        </w:tc>
        <w:tc>
          <w:tcPr>
            <w:tcW w:w="198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1 900,0</w:t>
            </w:r>
          </w:p>
        </w:tc>
        <w:tc>
          <w:tcPr>
            <w:tcW w:w="994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1 953,2</w:t>
            </w:r>
          </w:p>
        </w:tc>
        <w:tc>
          <w:tcPr>
            <w:tcW w:w="850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2 007,9</w:t>
            </w:r>
          </w:p>
        </w:tc>
        <w:tc>
          <w:tcPr>
            <w:tcW w:w="993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2 064,1</w:t>
            </w:r>
          </w:p>
        </w:tc>
        <w:tc>
          <w:tcPr>
            <w:tcW w:w="993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2 121,9</w:t>
            </w:r>
          </w:p>
        </w:tc>
        <w:tc>
          <w:tcPr>
            <w:tcW w:w="992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2 181,3</w:t>
            </w:r>
          </w:p>
        </w:tc>
        <w:tc>
          <w:tcPr>
            <w:tcW w:w="851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2 242,4</w:t>
            </w:r>
          </w:p>
        </w:tc>
        <w:tc>
          <w:tcPr>
            <w:tcW w:w="850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2 305,2</w:t>
            </w:r>
          </w:p>
        </w:tc>
        <w:tc>
          <w:tcPr>
            <w:tcW w:w="851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2 369,7</w:t>
            </w:r>
          </w:p>
        </w:tc>
        <w:tc>
          <w:tcPr>
            <w:tcW w:w="850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2 436,1</w:t>
            </w:r>
          </w:p>
        </w:tc>
        <w:tc>
          <w:tcPr>
            <w:tcW w:w="992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2 504,3</w:t>
            </w:r>
          </w:p>
        </w:tc>
        <w:tc>
          <w:tcPr>
            <w:tcW w:w="1132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2 574,4</w:t>
            </w:r>
          </w:p>
        </w:tc>
      </w:tr>
      <w:tr>
        <w:trPr>
          <w:trHeight w:val="567" w:hRule="exact"/>
        </w:trPr>
        <w:tc>
          <w:tcPr>
            <w:tcW w:w="22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  <w:t>Ц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1 900,0</w:t>
            </w:r>
          </w:p>
        </w:tc>
        <w:tc>
          <w:tcPr>
            <w:tcW w:w="9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1 960,8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2 023,5</w:t>
            </w:r>
          </w:p>
        </w:tc>
        <w:tc>
          <w:tcPr>
            <w:tcW w:w="9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highlight w:val="red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2 088,3</w:t>
            </w:r>
          </w:p>
        </w:tc>
        <w:tc>
          <w:tcPr>
            <w:tcW w:w="9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2 155,1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2 224,1</w:t>
            </w:r>
          </w:p>
        </w:tc>
        <w:tc>
          <w:tcPr>
            <w:tcW w:w="8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2 295,3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2 368,7</w:t>
            </w:r>
          </w:p>
        </w:tc>
        <w:tc>
          <w:tcPr>
            <w:tcW w:w="8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2 522,7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2 603,5</w:t>
            </w:r>
          </w:p>
        </w:tc>
        <w:tc>
          <w:tcPr>
            <w:tcW w:w="113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2 686,8</w:t>
            </w:r>
          </w:p>
        </w:tc>
      </w:tr>
      <w:tr>
        <w:trPr>
          <w:trHeight w:val="567" w:hRule="exact"/>
        </w:trPr>
        <w:tc>
          <w:tcPr>
            <w:tcW w:w="22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  <w:t>И</w:t>
            </w:r>
          </w:p>
        </w:tc>
        <w:tc>
          <w:tcPr>
            <w:tcW w:w="85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1 900,0</w:t>
            </w:r>
          </w:p>
        </w:tc>
        <w:tc>
          <w:tcPr>
            <w:tcW w:w="994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1 968,4</w:t>
            </w:r>
          </w:p>
        </w:tc>
        <w:tc>
          <w:tcPr>
            <w:tcW w:w="85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2 039,3</w:t>
            </w:r>
          </w:p>
        </w:tc>
        <w:tc>
          <w:tcPr>
            <w:tcW w:w="993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highlight w:val="red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2 112,7</w:t>
            </w:r>
          </w:p>
        </w:tc>
        <w:tc>
          <w:tcPr>
            <w:tcW w:w="993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2 188,7</w:t>
            </w:r>
          </w:p>
        </w:tc>
        <w:tc>
          <w:tcPr>
            <w:tcW w:w="992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2 267,5</w:t>
            </w:r>
          </w:p>
        </w:tc>
        <w:tc>
          <w:tcPr>
            <w:tcW w:w="851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2 349,2</w:t>
            </w:r>
          </w:p>
        </w:tc>
        <w:tc>
          <w:tcPr>
            <w:tcW w:w="85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2 433,7</w:t>
            </w:r>
          </w:p>
        </w:tc>
        <w:tc>
          <w:tcPr>
            <w:tcW w:w="851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2 521,3</w:t>
            </w:r>
          </w:p>
        </w:tc>
        <w:tc>
          <w:tcPr>
            <w:tcW w:w="85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2 612,1</w:t>
            </w:r>
          </w:p>
        </w:tc>
        <w:tc>
          <w:tcPr>
            <w:tcW w:w="992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2 706,1</w:t>
            </w:r>
          </w:p>
        </w:tc>
        <w:tc>
          <w:tcPr>
            <w:tcW w:w="113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2 803,6</w:t>
            </w:r>
          </w:p>
        </w:tc>
      </w:tr>
      <w:tr>
        <w:trPr>
          <w:trHeight w:val="567" w:hRule="exact"/>
        </w:trPr>
        <w:tc>
          <w:tcPr>
            <w:tcW w:w="22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Объем продаж российских компаний на внутреннем рынке аддитивного оборудования и комплектующих, млн руб.</w:t>
            </w:r>
          </w:p>
        </w:tc>
        <w:tc>
          <w:tcPr>
            <w:tcW w:w="198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757,0</w:t>
            </w:r>
          </w:p>
        </w:tc>
        <w:tc>
          <w:tcPr>
            <w:tcW w:w="994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778,2</w:t>
            </w:r>
          </w:p>
        </w:tc>
        <w:tc>
          <w:tcPr>
            <w:tcW w:w="850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822,4</w:t>
            </w:r>
          </w:p>
        </w:tc>
        <w:tc>
          <w:tcPr>
            <w:tcW w:w="993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992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869,1</w:t>
            </w:r>
          </w:p>
        </w:tc>
        <w:tc>
          <w:tcPr>
            <w:tcW w:w="851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893,4</w:t>
            </w:r>
          </w:p>
        </w:tc>
        <w:tc>
          <w:tcPr>
            <w:tcW w:w="850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918,4</w:t>
            </w:r>
          </w:p>
        </w:tc>
        <w:tc>
          <w:tcPr>
            <w:tcW w:w="851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944,1</w:t>
            </w:r>
          </w:p>
        </w:tc>
        <w:tc>
          <w:tcPr>
            <w:tcW w:w="850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970,6</w:t>
            </w:r>
          </w:p>
        </w:tc>
        <w:tc>
          <w:tcPr>
            <w:tcW w:w="992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997,8</w:t>
            </w:r>
          </w:p>
        </w:tc>
        <w:tc>
          <w:tcPr>
            <w:tcW w:w="1132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1 025,7</w:t>
            </w:r>
          </w:p>
        </w:tc>
      </w:tr>
      <w:tr>
        <w:trPr>
          <w:trHeight w:val="567" w:hRule="exact"/>
        </w:trPr>
        <w:tc>
          <w:tcPr>
            <w:tcW w:w="2223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  <w:t>Ц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757,0</w:t>
            </w:r>
          </w:p>
        </w:tc>
        <w:tc>
          <w:tcPr>
            <w:tcW w:w="9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781,2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806,2</w:t>
            </w:r>
          </w:p>
        </w:tc>
        <w:tc>
          <w:tcPr>
            <w:tcW w:w="9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832,0</w:t>
            </w:r>
          </w:p>
        </w:tc>
        <w:tc>
          <w:tcPr>
            <w:tcW w:w="9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858,6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886,1</w:t>
            </w:r>
          </w:p>
        </w:tc>
        <w:tc>
          <w:tcPr>
            <w:tcW w:w="8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914,5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943,7</w:t>
            </w:r>
          </w:p>
        </w:tc>
        <w:tc>
          <w:tcPr>
            <w:tcW w:w="8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973,9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1 005,1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1 037,3</w:t>
            </w:r>
          </w:p>
        </w:tc>
        <w:tc>
          <w:tcPr>
            <w:tcW w:w="113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1 070,5</w:t>
            </w:r>
          </w:p>
        </w:tc>
      </w:tr>
      <w:tr>
        <w:trPr>
          <w:trHeight w:val="567" w:hRule="exact"/>
        </w:trPr>
        <w:tc>
          <w:tcPr>
            <w:tcW w:w="222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  <w:t>И</w:t>
            </w:r>
          </w:p>
        </w:tc>
        <w:tc>
          <w:tcPr>
            <w:tcW w:w="85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757,0</w:t>
            </w:r>
          </w:p>
        </w:tc>
        <w:tc>
          <w:tcPr>
            <w:tcW w:w="994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784,3</w:t>
            </w:r>
          </w:p>
        </w:tc>
        <w:tc>
          <w:tcPr>
            <w:tcW w:w="85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812,5</w:t>
            </w:r>
          </w:p>
        </w:tc>
        <w:tc>
          <w:tcPr>
            <w:tcW w:w="993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841,7</w:t>
            </w:r>
          </w:p>
        </w:tc>
        <w:tc>
          <w:tcPr>
            <w:tcW w:w="993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872,0</w:t>
            </w:r>
          </w:p>
        </w:tc>
        <w:tc>
          <w:tcPr>
            <w:tcW w:w="992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903,4</w:t>
            </w:r>
          </w:p>
        </w:tc>
        <w:tc>
          <w:tcPr>
            <w:tcW w:w="851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936,0</w:t>
            </w:r>
          </w:p>
        </w:tc>
        <w:tc>
          <w:tcPr>
            <w:tcW w:w="85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969,6</w:t>
            </w:r>
          </w:p>
        </w:tc>
        <w:tc>
          <w:tcPr>
            <w:tcW w:w="851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1 004,6</w:t>
            </w:r>
          </w:p>
        </w:tc>
        <w:tc>
          <w:tcPr>
            <w:tcW w:w="85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1 040,7</w:t>
            </w:r>
          </w:p>
        </w:tc>
        <w:tc>
          <w:tcPr>
            <w:tcW w:w="992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1 078,2</w:t>
            </w:r>
          </w:p>
        </w:tc>
        <w:tc>
          <w:tcPr>
            <w:tcW w:w="113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>
        <w:trPr>
          <w:trHeight w:val="567" w:hRule="exact"/>
        </w:trPr>
        <w:tc>
          <w:tcPr>
            <w:tcW w:w="22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Объем продаж российских компаний на внешнем рынке рынка аддитивных технологий, млн руб</w:t>
            </w:r>
          </w:p>
        </w:tc>
        <w:tc>
          <w:tcPr>
            <w:tcW w:w="198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994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850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993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993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2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851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850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851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850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992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1132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33,8</w:t>
            </w:r>
          </w:p>
        </w:tc>
      </w:tr>
      <w:tr>
        <w:trPr>
          <w:trHeight w:val="567" w:hRule="exact"/>
        </w:trPr>
        <w:tc>
          <w:tcPr>
            <w:tcW w:w="2223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  <w:t>Ц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994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993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993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851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851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13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35,3</w:t>
            </w:r>
          </w:p>
        </w:tc>
      </w:tr>
      <w:tr>
        <w:trPr>
          <w:trHeight w:val="567" w:hRule="exact"/>
        </w:trPr>
        <w:tc>
          <w:tcPr>
            <w:tcW w:w="222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  <w:t>И</w:t>
            </w:r>
          </w:p>
        </w:tc>
        <w:tc>
          <w:tcPr>
            <w:tcW w:w="85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994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85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993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992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851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85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85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992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13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</w:tr>
    </w:tbl>
    <w:p>
      <w:pPr>
        <w:sectPr>
          <w:headerReference w:type="default" r:id="rId8"/>
          <w:type w:val="nextPage"/>
          <w:pgSz w:orient="landscape" w:w="16838" w:h="11906"/>
          <w:pgMar w:left="720" w:right="720" w:header="709" w:top="766" w:footer="0" w:bottom="567" w:gutter="0"/>
          <w:pgNumType w:start="1" w:fmt="decimal"/>
          <w:formProt w:val="false"/>
          <w:textDirection w:val="lrTb"/>
          <w:docGrid w:type="default" w:linePitch="360" w:charSpace="4096"/>
        </w:sectPr>
      </w:pP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sz w:val="24"/>
          <w:szCs w:val="24"/>
        </w:rPr>
        <w:t>Приложение № 2</w:t>
      </w:r>
    </w:p>
    <w:p>
      <w:pPr>
        <w:pStyle w:val="ConsPlusTitle"/>
        <w:ind w:left="7230" w:hanging="0"/>
        <w:jc w:val="center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к Стратегии развития </w:t>
      </w:r>
    </w:p>
    <w:p>
      <w:pPr>
        <w:pStyle w:val="ConsPlusTitle"/>
        <w:ind w:left="7230" w:hanging="0"/>
        <w:jc w:val="center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аддитивных технологий</w:t>
      </w:r>
    </w:p>
    <w:p>
      <w:pPr>
        <w:pStyle w:val="ConsPlusTitle"/>
        <w:ind w:left="7230" w:hanging="0"/>
        <w:jc w:val="center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sz w:val="24"/>
          <w:szCs w:val="24"/>
        </w:rPr>
        <w:t>на период до 2030 года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jc w:val="center"/>
        <w:rPr>
          <w:rFonts w:ascii="Times New Roman" w:hAnsi="Times New Roman" w:cs="Times New Roman"/>
        </w:rPr>
      </w:pPr>
      <w:bookmarkStart w:id="0" w:name="P695"/>
      <w:bookmarkEnd w:id="0"/>
      <w:r>
        <w:rPr>
          <w:rFonts w:cs="Times New Roman" w:ascii="Times New Roman" w:hAnsi="Times New Roman"/>
        </w:rPr>
        <w:t>МЕРЫ</w:t>
      </w:r>
    </w:p>
    <w:p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 УПРАВЛЕНИЮ РИСКАМИ РЕАЛИЗАЦИИ СТРАТЕГИИ РАЗВИТИЯ</w:t>
      </w:r>
    </w:p>
    <w:p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АДДИТИВНЫХ ТЕХНОЛОГИЙ В РОССИЙСКОЙ ФЕДЕРАЦИИ</w:t>
      </w:r>
    </w:p>
    <w:p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ПЕРИОД ДО 2030 ГОДА</w:t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b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59450" cy="828357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828357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text" w:leftFromText="180" w:rightFromText="180" w:tblpX="0" w:tblpXSpec="center" w:tblpY="1" w:topFromText="0" w:vertAnchor="text"/>
                              <w:tblW w:w="9070" w:type="dxa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102" w:type="dxa"/>
                                <w:left w:w="62" w:type="dxa"/>
                                <w:bottom w:w="102" w:type="dxa"/>
                                <w:right w:w="62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2154"/>
                              <w:gridCol w:w="2323"/>
                              <w:gridCol w:w="4593"/>
                            </w:tblGrid>
                            <w:tr>
                              <w:trPr/>
                              <w:tc>
                                <w:tcPr>
                                  <w:tcW w:w="2154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sPlus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Риск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7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ConsPlus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Возможные последствия</w:t>
                                  </w:r>
                                </w:p>
                              </w:tc>
                              <w:tc>
                                <w:tcPr>
                                  <w:tcW w:w="45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fill="auto" w:val="clear"/>
                                  <w:tcMar>
                                    <w:left w:w="57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ConsPlus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Меры по снижению вероятности и влияния риска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070" w:type="dxa"/>
                                  <w:gridSpan w:val="3"/>
                                  <w:tcBorders>
                                    <w:top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sPlusNormal"/>
                                    <w:numPr>
                                      <w:ilvl w:val="0"/>
                                      <w:numId w:val="0"/>
                                    </w:numPr>
                                    <w:jc w:val="center"/>
                                    <w:outlineLvl w:val="2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 xml:space="preserve">I. Макроэкономические риски </w:t>
                                  </w:r>
                                  <w:hyperlink w:anchor="P738">
                                    <w:r>
                                      <w:rPr>
                                        <w:rStyle w:val="Style14"/>
                                        <w:rFonts w:cs="Times New Roman" w:ascii="Times New Roman" w:hAnsi="Times New Roman"/>
                                      </w:rPr>
                                      <w:t>&lt;*&gt;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154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sPlus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Недостаточность объемов финансирования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sPlus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срыв сроков реализации Стратегии</w:t>
                                  </w:r>
                                </w:p>
                              </w:tc>
                              <w:tc>
                                <w:tcPr>
                                  <w:tcW w:w="4593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sPlus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диверсификация источников финансирования, государственно-частное партнерство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154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sPlus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Неэффективное использование финансовых ресурсов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sPlus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неполное достижение целей Стратегии</w:t>
                                  </w:r>
                                </w:p>
                              </w:tc>
                              <w:tc>
                                <w:tcPr>
                                  <w:tcW w:w="4593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sPlus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приоритизация объектов, финансирование с приоритетом освоения критически значимых технологий и реализации наиболее перспективных комплексных проектов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154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sPlus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Непрогнозируемый рост стоимости входа на новые рынки и освоения новых технологий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sPlus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превышение стоимости достижения результата</w:t>
                                  </w:r>
                                </w:p>
                              </w:tc>
                              <w:tc>
                                <w:tcPr>
                                  <w:tcW w:w="4593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sPlus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развитие кооперации, в том числе с зарубежными партнерами, прогнозирование и опережающее планирование технологических переделов продукции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96" w:hRule="atLeast"/>
                              </w:trPr>
                              <w:tc>
                                <w:tcPr>
                                  <w:tcW w:w="2154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sPlus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Гиперконкуренция на глобальных рынках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sPlus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неполное достижение целей Стратегии и срыв сроков ее реализации</w:t>
                                  </w:r>
                                </w:p>
                              </w:tc>
                              <w:tc>
                                <w:tcPr>
                                  <w:tcW w:w="4593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sPlus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развитие нормативно-правовой базы аддитивных технологий для создания благоприятной среды увеличения доли российского аддитивного оборудования на внутреннем и внешнем рынках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070" w:type="dxa"/>
                                  <w:gridSpan w:val="3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sPlusNormal"/>
                                    <w:numPr>
                                      <w:ilvl w:val="0"/>
                                      <w:numId w:val="0"/>
                                    </w:numPr>
                                    <w:jc w:val="center"/>
                                    <w:outlineLvl w:val="2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II. Социальные риски &lt;**&gt;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154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sPlus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Острый дефицит квалифицированных кадров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sPlus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срыв сроков реализации Стратегии</w:t>
                                  </w:r>
                                </w:p>
                              </w:tc>
                              <w:tc>
                                <w:tcPr>
                                  <w:tcW w:w="4593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sPlus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повышение производительности труда, в том числе за счет автоматизации и современных форматов трудовой деятельности (аутсорсинг, удаленная работа, проектный наем)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154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sPlus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Несоответствие продукции ожиданиям потребителей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sPlus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неполное достижение целей Стратегии</w:t>
                                  </w:r>
                                </w:p>
                              </w:tc>
                              <w:tc>
                                <w:tcPr>
                                  <w:tcW w:w="4593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sPlus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улучшение качества продукции и сервиса, стимулирование потребителей финансовыми и нефинансовыми мерами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" w:hRule="atLeast"/>
                              </w:trPr>
                              <w:tc>
                                <w:tcPr>
                                  <w:tcW w:w="9070" w:type="dxa"/>
                                  <w:gridSpan w:val="3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sPlusNormal"/>
                                    <w:numPr>
                                      <w:ilvl w:val="0"/>
                                      <w:numId w:val="0"/>
                                    </w:numPr>
                                    <w:jc w:val="center"/>
                                    <w:outlineLvl w:val="2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III. Операционные риски &lt;***&gt;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154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sPlus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Недоступность передовых технологий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sPlus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срыв сроков реализации Стратегии</w:t>
                                  </w:r>
                                </w:p>
                              </w:tc>
                              <w:tc>
                                <w:tcPr>
                                  <w:tcW w:w="4593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sPlus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обеспечение импортонезависимости производств, развитие международных связей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154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sPlusNormal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  <w:p>
                                  <w:pPr>
                                    <w:pStyle w:val="ConsPlus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Низкая скорость принятия решений, административные барьеры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sPlus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увеличение сроков достижения целей Стратегии</w:t>
                                  </w:r>
                                </w:p>
                              </w:tc>
                              <w:tc>
                                <w:tcPr>
                                  <w:tcW w:w="4593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sPlus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реализация Стратегии в статусе приоритета национального развития, государственный контроль за ходом ее реализации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" w:hRule="atLeast"/>
                              </w:trPr>
                              <w:tc>
                                <w:tcPr>
                                  <w:tcW w:w="2154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sPlusNormal"/>
                                    <w:jc w:val="center"/>
                                    <w:rPr/>
                                  </w:pPr>
                                  <w:bookmarkStart w:id="1" w:name="__UnoMark__2071_3915713327"/>
                                  <w:bookmarkStart w:id="2" w:name="__UnoMark__2072_3915713327"/>
                                  <w:bookmarkEnd w:id="1"/>
                                  <w:bookmarkEnd w:id="2"/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Недостаточность информации для принятия решений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sPlusNormal"/>
                                    <w:jc w:val="center"/>
                                    <w:rPr/>
                                  </w:pPr>
                                  <w:bookmarkStart w:id="3" w:name="__UnoMark__2073_3915713327"/>
                                  <w:bookmarkStart w:id="4" w:name="__UnoMark__2074_3915713327"/>
                                  <w:bookmarkEnd w:id="3"/>
                                  <w:bookmarkEnd w:id="4"/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неполное достижение целей Стратегии</w:t>
                                  </w:r>
                                </w:p>
                              </w:tc>
                              <w:tc>
                                <w:tcPr>
                                  <w:tcW w:w="4593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sPlusNormal"/>
                                    <w:jc w:val="center"/>
                                    <w:rPr/>
                                  </w:pPr>
                                  <w:bookmarkStart w:id="5" w:name="__UnoMark__2075_3915713327"/>
                                  <w:bookmarkEnd w:id="5"/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развитие информационной среды аддитивных технологий, гармонизация требований к представлению информации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3.5pt;height:652.25pt;mso-wrap-distance-left:9pt;mso-wrap-distance-right:9pt;mso-wrap-distance-top:0pt;mso-wrap-distance-bottom:0pt;margin-top:0.05pt;mso-position-vertical-relative:text;margin-left:34.9pt;mso-position-horizontal:center;mso-position-horizontal-relative:text">
                <v:textbox inset="0in,0in,0in,0in">
                  <w:txbxContent>
                    <w:tbl>
                      <w:tblPr>
                        <w:tblpPr w:bottomFromText="0" w:horzAnchor="text" w:leftFromText="180" w:rightFromText="180" w:tblpX="0" w:tblpXSpec="center" w:tblpY="1" w:topFromText="0" w:vertAnchor="text"/>
                        <w:tblW w:w="9070" w:type="dxa"/>
                        <w:jc w:val="center"/>
                        <w:tblInd w:w="0" w:type="dxa"/>
                        <w:tblBorders>
                          <w:top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102" w:type="dxa"/>
                          <w:left w:w="62" w:type="dxa"/>
                          <w:bottom w:w="102" w:type="dxa"/>
                          <w:right w:w="62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2154"/>
                        <w:gridCol w:w="2323"/>
                        <w:gridCol w:w="4593"/>
                      </w:tblGrid>
                      <w:tr>
                        <w:trPr/>
                        <w:tc>
                          <w:tcPr>
                            <w:tcW w:w="2154" w:type="dxa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ConsPlus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Риск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7" w:type="dxa"/>
                            </w:tcMar>
                            <w:vAlign w:val="center"/>
                          </w:tcPr>
                          <w:p>
                            <w:pPr>
                              <w:pStyle w:val="ConsPlus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Возможные последствия</w:t>
                            </w:r>
                          </w:p>
                        </w:tc>
                        <w:tc>
                          <w:tcPr>
                            <w:tcW w:w="45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insideH w:val="single" w:sz="4" w:space="0" w:color="00000A"/>
                            </w:tcBorders>
                            <w:shd w:fill="auto" w:val="clear"/>
                            <w:tcMar>
                              <w:left w:w="57" w:type="dxa"/>
                            </w:tcMar>
                            <w:vAlign w:val="center"/>
                          </w:tcPr>
                          <w:p>
                            <w:pPr>
                              <w:pStyle w:val="ConsPlus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Меры по снижению вероятности и влияния риска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070" w:type="dxa"/>
                            <w:gridSpan w:val="3"/>
                            <w:tcBorders>
                              <w:top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ConsPlusNormal"/>
                              <w:numPr>
                                <w:ilvl w:val="0"/>
                                <w:numId w:val="0"/>
                              </w:numPr>
                              <w:jc w:val="center"/>
                              <w:outlineLvl w:val="2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I. Макроэкономические риски </w:t>
                            </w:r>
                            <w:hyperlink w:anchor="P738">
                              <w:r>
                                <w:rPr>
                                  <w:rStyle w:val="Style14"/>
                                  <w:rFonts w:cs="Times New Roman" w:ascii="Times New Roman" w:hAnsi="Times New Roman"/>
                                </w:rPr>
                                <w:t>&lt;*&gt;</w:t>
                              </w:r>
                            </w:hyperlink>
                          </w:p>
                        </w:tc>
                      </w:tr>
                      <w:tr>
                        <w:trPr/>
                        <w:tc>
                          <w:tcPr>
                            <w:tcW w:w="2154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ConsPlus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Недостаточность объемов финансирования</w:t>
                            </w:r>
                          </w:p>
                        </w:tc>
                        <w:tc>
                          <w:tcPr>
                            <w:tcW w:w="2323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ConsPlus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срыв сроков реализации Стратегии</w:t>
                            </w:r>
                          </w:p>
                        </w:tc>
                        <w:tc>
                          <w:tcPr>
                            <w:tcW w:w="4593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ConsPlus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диверсификация источников финансирования, государственно-частное партнерство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154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ConsPlus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Неэффективное использование финансовых ресурсов</w:t>
                            </w:r>
                          </w:p>
                        </w:tc>
                        <w:tc>
                          <w:tcPr>
                            <w:tcW w:w="2323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ConsPlus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неполное достижение целей Стратегии</w:t>
                            </w:r>
                          </w:p>
                        </w:tc>
                        <w:tc>
                          <w:tcPr>
                            <w:tcW w:w="4593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ConsPlus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приоритизация объектов, финансирование с приоритетом освоения критически значимых технологий и реализации наиболее перспективных комплексных проектов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154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ConsPlus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Непрогнозируемый рост стоимости входа на новые рынки и освоения новых технологий</w:t>
                            </w:r>
                          </w:p>
                        </w:tc>
                        <w:tc>
                          <w:tcPr>
                            <w:tcW w:w="2323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ConsPlus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превышение стоимости достижения результата</w:t>
                            </w:r>
                          </w:p>
                        </w:tc>
                        <w:tc>
                          <w:tcPr>
                            <w:tcW w:w="4593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ConsPlus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развитие кооперации, в том числе с зарубежными партнерами, прогнозирование и опережающее планирование технологических переделов продукции</w:t>
                            </w:r>
                          </w:p>
                        </w:tc>
                      </w:tr>
                      <w:tr>
                        <w:trPr>
                          <w:trHeight w:val="1196" w:hRule="atLeast"/>
                        </w:trPr>
                        <w:tc>
                          <w:tcPr>
                            <w:tcW w:w="2154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ConsPlus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Гиперконкуренция на глобальных рынках</w:t>
                            </w:r>
                          </w:p>
                        </w:tc>
                        <w:tc>
                          <w:tcPr>
                            <w:tcW w:w="2323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ConsPlus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неполное достижение целей Стратегии и срыв сроков ее реализации</w:t>
                            </w:r>
                          </w:p>
                        </w:tc>
                        <w:tc>
                          <w:tcPr>
                            <w:tcW w:w="4593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ConsPlus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развитие нормативно-правовой базы аддитивных технологий для создания благоприятной среды увеличения доли российского аддитивного оборудования на внутреннем и внешнем рынках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070" w:type="dxa"/>
                            <w:gridSpan w:val="3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ConsPlusNormal"/>
                              <w:numPr>
                                <w:ilvl w:val="0"/>
                                <w:numId w:val="0"/>
                              </w:numPr>
                              <w:jc w:val="center"/>
                              <w:outlineLvl w:val="2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II. Социальные риски &lt;**&gt;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154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ConsPlus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Острый дефицит квалифицированных кадров</w:t>
                            </w:r>
                          </w:p>
                        </w:tc>
                        <w:tc>
                          <w:tcPr>
                            <w:tcW w:w="2323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ConsPlus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срыв сроков реализации Стратегии</w:t>
                            </w:r>
                          </w:p>
                        </w:tc>
                        <w:tc>
                          <w:tcPr>
                            <w:tcW w:w="4593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ConsPlus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повышение производительности труда, в том числе за счет автоматизации и современных форматов трудовой деятельности (аутсорсинг, удаленная работа, проектный наем)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154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ConsPlus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Несоответствие продукции ожиданиям потребителей</w:t>
                            </w:r>
                          </w:p>
                        </w:tc>
                        <w:tc>
                          <w:tcPr>
                            <w:tcW w:w="2323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ConsPlus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неполное достижение целей Стратегии</w:t>
                            </w:r>
                          </w:p>
                        </w:tc>
                        <w:tc>
                          <w:tcPr>
                            <w:tcW w:w="4593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ConsPlus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улучшение качества продукции и сервиса, стимулирование потребителей финансовыми и нефинансовыми мерами</w:t>
                            </w:r>
                          </w:p>
                        </w:tc>
                      </w:tr>
                      <w:tr>
                        <w:trPr>
                          <w:trHeight w:val="23" w:hRule="atLeast"/>
                        </w:trPr>
                        <w:tc>
                          <w:tcPr>
                            <w:tcW w:w="9070" w:type="dxa"/>
                            <w:gridSpan w:val="3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ConsPlusNormal"/>
                              <w:numPr>
                                <w:ilvl w:val="0"/>
                                <w:numId w:val="0"/>
                              </w:numPr>
                              <w:jc w:val="center"/>
                              <w:outlineLvl w:val="2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III. Операционные риски &lt;***&gt;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154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ConsPlus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Недоступность передовых технологий</w:t>
                            </w:r>
                          </w:p>
                        </w:tc>
                        <w:tc>
                          <w:tcPr>
                            <w:tcW w:w="2323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ConsPlus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срыв сроков реализации Стратегии</w:t>
                            </w:r>
                          </w:p>
                        </w:tc>
                        <w:tc>
                          <w:tcPr>
                            <w:tcW w:w="4593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ConsPlus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обеспечение импортонезависимости производств, развитие международных связей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154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</w:r>
                          </w:p>
                          <w:p>
                            <w:pPr>
                              <w:pStyle w:val="ConsPlus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Низкая скорость принятия решений, административные барьеры</w:t>
                            </w:r>
                          </w:p>
                        </w:tc>
                        <w:tc>
                          <w:tcPr>
                            <w:tcW w:w="2323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ConsPlus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увеличение сроков достижения целей Стратегии</w:t>
                            </w:r>
                          </w:p>
                        </w:tc>
                        <w:tc>
                          <w:tcPr>
                            <w:tcW w:w="4593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ConsPlus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реализация Стратегии в статусе приоритета национального развития, государственный контроль за ходом ее реализации</w:t>
                            </w:r>
                          </w:p>
                        </w:tc>
                      </w:tr>
                      <w:tr>
                        <w:trPr>
                          <w:trHeight w:val="12" w:hRule="atLeast"/>
                        </w:trPr>
                        <w:tc>
                          <w:tcPr>
                            <w:tcW w:w="2154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ConsPlusNormal"/>
                              <w:jc w:val="center"/>
                              <w:rPr/>
                            </w:pPr>
                            <w:bookmarkStart w:id="6" w:name="__UnoMark__2071_3915713327"/>
                            <w:bookmarkStart w:id="7" w:name="__UnoMark__2072_3915713327"/>
                            <w:bookmarkEnd w:id="6"/>
                            <w:bookmarkEnd w:id="7"/>
                            <w:r>
                              <w:rPr>
                                <w:rFonts w:cs="Times New Roman" w:ascii="Times New Roman" w:hAnsi="Times New Roman"/>
                              </w:rPr>
                              <w:t>Недостаточность информации для принятия решений</w:t>
                            </w:r>
                          </w:p>
                        </w:tc>
                        <w:tc>
                          <w:tcPr>
                            <w:tcW w:w="2323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ConsPlusNormal"/>
                              <w:jc w:val="center"/>
                              <w:rPr/>
                            </w:pPr>
                            <w:bookmarkStart w:id="8" w:name="__UnoMark__2073_3915713327"/>
                            <w:bookmarkStart w:id="9" w:name="__UnoMark__2074_3915713327"/>
                            <w:bookmarkEnd w:id="8"/>
                            <w:bookmarkEnd w:id="9"/>
                            <w:r>
                              <w:rPr>
                                <w:rFonts w:cs="Times New Roman" w:ascii="Times New Roman" w:hAnsi="Times New Roman"/>
                              </w:rPr>
                              <w:t>неполное достижение целей Стратегии</w:t>
                            </w:r>
                          </w:p>
                        </w:tc>
                        <w:tc>
                          <w:tcPr>
                            <w:tcW w:w="4593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ConsPlusNormal"/>
                              <w:jc w:val="center"/>
                              <w:rPr/>
                            </w:pPr>
                            <w:bookmarkStart w:id="10" w:name="__UnoMark__2075_3915713327"/>
                            <w:bookmarkEnd w:id="10"/>
                            <w:r>
                              <w:rPr>
                                <w:rFonts w:cs="Times New Roman" w:ascii="Times New Roman" w:hAnsi="Times New Roman"/>
                              </w:rPr>
                              <w:t>развитие информационной среды аддитивных технологий, гармонизация требований к представлению информации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</w:rPr>
      </w:pPr>
      <w:bookmarkStart w:id="11" w:name="P738"/>
      <w:bookmarkEnd w:id="11"/>
      <w:r>
        <w:rPr>
          <w:rFonts w:cs="Times New Roman" w:ascii="Times New Roman" w:hAnsi="Times New Roman"/>
        </w:rPr>
        <w:t>&lt;*&gt; Макроэкономические риски реализации Стратегии связаны с возможной негативной ситуацией на глобальных рынках и в мировой экономике.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</w:rPr>
      </w:pPr>
      <w:bookmarkStart w:id="12" w:name="P739"/>
      <w:bookmarkEnd w:id="12"/>
      <w:r>
        <w:rPr>
          <w:rFonts w:cs="Times New Roman" w:ascii="Times New Roman" w:hAnsi="Times New Roman"/>
        </w:rPr>
        <w:t>&lt;**&gt; Социальные риски реализации Стратегии связаны с возможными негативными социальными условиями в стране.</w:t>
      </w:r>
    </w:p>
    <w:p>
      <w:pPr>
        <w:pStyle w:val="ConsPlusNormal"/>
        <w:spacing w:before="220" w:after="160"/>
        <w:ind w:firstLine="540"/>
        <w:jc w:val="both"/>
        <w:rPr/>
      </w:pPr>
      <w:bookmarkStart w:id="13" w:name="P740"/>
      <w:bookmarkEnd w:id="13"/>
      <w:r>
        <w:rPr>
          <w:rFonts w:cs="Times New Roman" w:ascii="Times New Roman" w:hAnsi="Times New Roman"/>
        </w:rPr>
        <w:t>&lt;***&gt; Операционные риски реализации Стратегии связаны с несовершенством нормативно-правовой базы и зависимостью процессов разработки, изготовления и сервисного обслуживания аддитивного оборудования от материально-технической и технологической баз.</w:t>
      </w:r>
    </w:p>
    <w:sectPr>
      <w:headerReference w:type="default" r:id="rId9"/>
      <w:headerReference w:type="first" r:id="rId10"/>
      <w:type w:val="nextPage"/>
      <w:pgSz w:w="11906" w:h="16838"/>
      <w:pgMar w:left="720" w:right="720" w:header="709" w:top="766" w:footer="0" w:bottom="709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62834780"/>
    </w:sdtPr>
    <w:sdtContent>
      <w:p>
        <w:pPr>
          <w:pStyle w:val="Style26"/>
          <w:jc w:val="center"/>
          <w:rPr/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right"/>
      <w:rPr>
        <w:rFonts w:ascii="Times New Roman" w:hAnsi="Times New Roman" w:cs="Times New Roman"/>
        <w:sz w:val="24"/>
        <w:szCs w:val="24"/>
      </w:rPr>
    </w:pPr>
    <w:r>
      <w:rPr>
        <w:rFonts w:eastAsia="Calibri" w:cs="Times New Roman" w:ascii="Times New Roman" w:hAnsi="Times New Roman"/>
        <w:sz w:val="28"/>
        <w:szCs w:val="28"/>
      </w:rPr>
      <w:t>Проект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45017068"/>
    </w:sdtPr>
    <w:sdtContent>
      <w:p>
        <w:pPr>
          <w:pStyle w:val="Style26"/>
          <w:jc w:val="center"/>
          <w:rPr/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instrText> PAGE </w:instrText>
        </w:r>
        <w:r>
          <w:fldChar w:fldCharType="separate"/>
        </w:r>
        <w:r>
          <w:t>22</w:t>
        </w:r>
        <w:r>
          <w:fldChar w:fldCharType="end"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right"/>
      <w:rPr/>
    </w:pPr>
    <w:r>
      <w:rPr>
        <w:rFonts w:eastAsia="Calibri" w:cs="Times New Roman" w:ascii="Times New Roman" w:hAnsi="Times New Roman"/>
        <w:sz w:val="28"/>
        <w:szCs w:val="28"/>
      </w:rPr>
      <w:t>Проект</w: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59473617"/>
    </w:sdtPr>
    <w:sdtContent>
      <w:p>
        <w:pPr>
          <w:pStyle w:val="Style26"/>
          <w:jc w:val="center"/>
          <w:rPr/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upperRoman"/>
      <w:lvlText w:val="%1."/>
      <w:lvlJc w:val="righ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lvl w:ilvl="0">
      <w:start w:val="3"/>
      <w:numFmt w:val="upperRoman"/>
      <w:suff w:val="nothing"/>
      <w:lvlText w:val="%1."/>
      <w:lvlJc w:val="right"/>
      <w:pPr>
        <w:ind w:left="0" w:hanging="0"/>
      </w:pPr>
      <w:rPr>
        <w:sz w:val="28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782" w:hanging="360"/>
      </w:pPr>
    </w:lvl>
    <w:lvl w:ilvl="2">
      <w:start w:val="1"/>
      <w:numFmt w:val="lowerRoman"/>
      <w:lvlText w:val="%3."/>
      <w:lvlJc w:val="right"/>
      <w:pPr>
        <w:ind w:left="3502" w:hanging="180"/>
      </w:pPr>
    </w:lvl>
    <w:lvl w:ilvl="3">
      <w:start w:val="1"/>
      <w:numFmt w:val="decimal"/>
      <w:lvlText w:val="%4."/>
      <w:lvlJc w:val="left"/>
      <w:pPr>
        <w:ind w:left="4222" w:hanging="360"/>
      </w:pPr>
    </w:lvl>
    <w:lvl w:ilvl="4">
      <w:start w:val="1"/>
      <w:numFmt w:val="lowerLetter"/>
      <w:lvlText w:val="%5."/>
      <w:lvlJc w:val="left"/>
      <w:pPr>
        <w:ind w:left="4942" w:hanging="360"/>
      </w:pPr>
    </w:lvl>
    <w:lvl w:ilvl="5">
      <w:start w:val="1"/>
      <w:numFmt w:val="lowerRoman"/>
      <w:lvlText w:val="%6."/>
      <w:lvlJc w:val="right"/>
      <w:pPr>
        <w:ind w:left="5662" w:hanging="180"/>
      </w:pPr>
    </w:lvl>
    <w:lvl w:ilvl="6">
      <w:start w:val="1"/>
      <w:numFmt w:val="decimal"/>
      <w:lvlText w:val="%7."/>
      <w:lvlJc w:val="left"/>
      <w:pPr>
        <w:ind w:left="6382" w:hanging="360"/>
      </w:pPr>
    </w:lvl>
    <w:lvl w:ilvl="7">
      <w:start w:val="1"/>
      <w:numFmt w:val="lowerLetter"/>
      <w:lvlText w:val="%8."/>
      <w:lvlJc w:val="left"/>
      <w:pPr>
        <w:ind w:left="7102" w:hanging="360"/>
      </w:pPr>
    </w:lvl>
    <w:lvl w:ilvl="8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lvl w:ilvl="0">
      <w:start w:val="1"/>
      <w:numFmt w:val="upperRoman"/>
      <w:lvlText w:val="%1."/>
      <w:lvlJc w:val="right"/>
      <w:pPr>
        <w:ind w:left="4330" w:hanging="360"/>
      </w:pPr>
    </w:lvl>
    <w:lvl w:ilvl="1">
      <w:start w:val="1"/>
      <w:numFmt w:val="lowerLetter"/>
      <w:lvlText w:val="%2."/>
      <w:lvlJc w:val="left"/>
      <w:pPr>
        <w:ind w:left="5050" w:hanging="360"/>
      </w:pPr>
    </w:lvl>
    <w:lvl w:ilvl="2">
      <w:start w:val="1"/>
      <w:numFmt w:val="lowerRoman"/>
      <w:lvlText w:val="%3."/>
      <w:lvlJc w:val="right"/>
      <w:pPr>
        <w:ind w:left="5770" w:hanging="180"/>
      </w:pPr>
    </w:lvl>
    <w:lvl w:ilvl="3">
      <w:start w:val="1"/>
      <w:numFmt w:val="decimal"/>
      <w:lvlText w:val="%4."/>
      <w:lvlJc w:val="left"/>
      <w:pPr>
        <w:ind w:left="6490" w:hanging="360"/>
      </w:pPr>
    </w:lvl>
    <w:lvl w:ilvl="4">
      <w:start w:val="1"/>
      <w:numFmt w:val="lowerLetter"/>
      <w:lvlText w:val="%5."/>
      <w:lvlJc w:val="left"/>
      <w:pPr>
        <w:ind w:left="7210" w:hanging="360"/>
      </w:pPr>
    </w:lvl>
    <w:lvl w:ilvl="5">
      <w:start w:val="1"/>
      <w:numFmt w:val="lowerRoman"/>
      <w:lvlText w:val="%6."/>
      <w:lvlJc w:val="right"/>
      <w:pPr>
        <w:ind w:left="7930" w:hanging="180"/>
      </w:pPr>
    </w:lvl>
    <w:lvl w:ilvl="6">
      <w:start w:val="1"/>
      <w:numFmt w:val="decimal"/>
      <w:lvlText w:val="%7."/>
      <w:lvlJc w:val="left"/>
      <w:pPr>
        <w:ind w:left="8650" w:hanging="360"/>
      </w:pPr>
    </w:lvl>
    <w:lvl w:ilvl="7">
      <w:start w:val="1"/>
      <w:numFmt w:val="lowerLetter"/>
      <w:lvlText w:val="%8."/>
      <w:lvlJc w:val="left"/>
      <w:pPr>
        <w:ind w:left="9370" w:hanging="360"/>
      </w:pPr>
    </w:lvl>
    <w:lvl w:ilvl="8">
      <w:start w:val="1"/>
      <w:numFmt w:val="lowerRoman"/>
      <w:lvlText w:val="%9."/>
      <w:lvlJc w:val="right"/>
      <w:pPr>
        <w:ind w:left="10090" w:hanging="180"/>
      </w:pPr>
    </w:lvl>
  </w:abstractNum>
  <w:abstractNum w:abstractNumId="4">
    <w:lvl w:ilvl="0">
      <w:start w:val="1"/>
      <w:numFmt w:val="decimal"/>
      <w:suff w:val="nothing"/>
      <w:lvlText w:val="%1."/>
      <w:lvlJc w:val="left"/>
      <w:pPr>
        <w:ind w:left="5889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lvl w:ilvl="0">
      <w:start w:val="1"/>
      <w:numFmt w:val="decimal"/>
      <w:suff w:val="nothing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suff w:val="nothing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游明朝" w:cs="Arial" w:eastAsiaTheme="minorEastAsia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rial" w:hAnsi="Arial" w:eastAsia="游明朝" w:cs="Arial" w:eastAsiaTheme="minorEastAsia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cd4f92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000ee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7"/>
    <w:uiPriority w:val="99"/>
    <w:semiHidden/>
    <w:qFormat/>
    <w:rsid w:val="004000ee"/>
    <w:rPr>
      <w:sz w:val="20"/>
      <w:szCs w:val="20"/>
    </w:rPr>
  </w:style>
  <w:style w:type="character" w:styleId="Style16" w:customStyle="1">
    <w:name w:val="Тема примечания Знак"/>
    <w:basedOn w:val="Style15"/>
    <w:link w:val="a9"/>
    <w:uiPriority w:val="99"/>
    <w:semiHidden/>
    <w:qFormat/>
    <w:rsid w:val="004000ee"/>
    <w:rPr>
      <w:b/>
      <w:bCs/>
      <w:sz w:val="20"/>
      <w:szCs w:val="20"/>
    </w:rPr>
  </w:style>
  <w:style w:type="character" w:styleId="Style17" w:customStyle="1">
    <w:name w:val="Текст выноски Знак"/>
    <w:basedOn w:val="DefaultParagraphFont"/>
    <w:link w:val="ab"/>
    <w:uiPriority w:val="99"/>
    <w:semiHidden/>
    <w:qFormat/>
    <w:rsid w:val="004000ee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1b57ec"/>
    <w:rPr/>
  </w:style>
  <w:style w:type="character" w:styleId="Style18" w:customStyle="1">
    <w:name w:val="Верхний колонтитул Знак"/>
    <w:basedOn w:val="DefaultParagraphFont"/>
    <w:link w:val="af"/>
    <w:uiPriority w:val="99"/>
    <w:qFormat/>
    <w:rsid w:val="00b05acd"/>
    <w:rPr/>
  </w:style>
  <w:style w:type="character" w:styleId="Style19" w:customStyle="1">
    <w:name w:val="Нижний колонтитул Знак"/>
    <w:basedOn w:val="DefaultParagraphFont"/>
    <w:link w:val="af1"/>
    <w:uiPriority w:val="99"/>
    <w:qFormat/>
    <w:rsid w:val="00b05acd"/>
    <w:rPr/>
  </w:style>
  <w:style w:type="character" w:styleId="Style20" w:customStyle="1">
    <w:name w:val="Текст сноски Знак"/>
    <w:basedOn w:val="DefaultParagraphFont"/>
    <w:link w:val="af3"/>
    <w:uiPriority w:val="99"/>
    <w:semiHidden/>
    <w:qFormat/>
    <w:rsid w:val="00c868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c868d2"/>
    <w:rPr>
      <w:vertAlign w:val="superscript"/>
    </w:rPr>
  </w:style>
  <w:style w:type="character" w:styleId="ListLabel1">
    <w:name w:val="ListLabel 1"/>
    <w:qFormat/>
    <w:rPr>
      <w:rFonts w:ascii="Times New Roman" w:hAnsi="Times New Roman" w:cs="Times New Roman"/>
      <w:b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SimSun" w:cs="Lohit Devanagari"/>
      <w:sz w:val="28"/>
      <w:szCs w:val="28"/>
    </w:rPr>
  </w:style>
  <w:style w:type="paragraph" w:styleId="Style22">
    <w:name w:val="Body Text"/>
    <w:basedOn w:val="Normal"/>
    <w:pPr>
      <w:spacing w:lineRule="auto" w:line="288" w:before="0" w:after="140"/>
    </w:pPr>
    <w:rPr/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02ef7"/>
    <w:pPr>
      <w:spacing w:lineRule="auto" w:line="276" w:before="0" w:after="200"/>
      <w:ind w:left="720" w:hanging="0"/>
      <w:contextualSpacing/>
    </w:pPr>
    <w:rPr>
      <w:rFonts w:ascii="Calibri" w:hAnsi="Calibri" w:cs="" w:asciiTheme="minorHAnsi" w:cstheme="minorBidi" w:hAnsiTheme="minorHAnsi"/>
    </w:rPr>
  </w:style>
  <w:style w:type="paragraph" w:styleId="ConsPlusNormal" w:customStyle="1">
    <w:name w:val="ConsPlusNormal"/>
    <w:qFormat/>
    <w:rsid w:val="00d02ef7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eastAsia="ru-RU" w:val="ru-RU" w:bidi="ar-SA"/>
    </w:rPr>
  </w:style>
  <w:style w:type="paragraph" w:styleId="Annotationtext">
    <w:name w:val="annotation text"/>
    <w:basedOn w:val="Normal"/>
    <w:link w:val="a8"/>
    <w:uiPriority w:val="99"/>
    <w:semiHidden/>
    <w:unhideWhenUsed/>
    <w:qFormat/>
    <w:rsid w:val="004000e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a"/>
    <w:uiPriority w:val="99"/>
    <w:semiHidden/>
    <w:unhideWhenUsed/>
    <w:qFormat/>
    <w:rsid w:val="004000ee"/>
    <w:pPr/>
    <w:rPr>
      <w:b/>
      <w:bCs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4000e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Title" w:customStyle="1">
    <w:name w:val="ConsPlusTitle"/>
    <w:qFormat/>
    <w:rsid w:val="00182254"/>
    <w:pPr>
      <w:widowControl w:val="false"/>
      <w:bidi w:val="0"/>
      <w:spacing w:lineRule="auto" w:line="240" w:before="0" w:after="0"/>
      <w:jc w:val="left"/>
    </w:pPr>
    <w:rPr>
      <w:rFonts w:eastAsia="Times New Roman" w:ascii="Arial" w:hAnsi="Arial" w:cs="Arial"/>
      <w:b/>
      <w:color w:val="auto"/>
      <w:kern w:val="0"/>
      <w:sz w:val="22"/>
      <w:szCs w:val="20"/>
      <w:lang w:eastAsia="ru-RU" w:val="ru-RU" w:bidi="ar-SA"/>
    </w:rPr>
  </w:style>
  <w:style w:type="paragraph" w:styleId="Revision">
    <w:name w:val="Revision"/>
    <w:uiPriority w:val="99"/>
    <w:semiHidden/>
    <w:qFormat/>
    <w:rsid w:val="00821efd"/>
    <w:pPr>
      <w:widowControl/>
      <w:bidi w:val="0"/>
      <w:spacing w:lineRule="auto" w:line="240" w:before="0" w:after="0"/>
      <w:jc w:val="left"/>
    </w:pPr>
    <w:rPr>
      <w:rFonts w:ascii="Arial" w:hAnsi="Arial" w:eastAsia="游明朝" w:cs="Arial" w:eastAsiaTheme="minorEastAsia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ba025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>
    <w:name w:val="Header"/>
    <w:basedOn w:val="Normal"/>
    <w:link w:val="af0"/>
    <w:uiPriority w:val="99"/>
    <w:unhideWhenUsed/>
    <w:rsid w:val="00b05ac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af2"/>
    <w:uiPriority w:val="99"/>
    <w:unhideWhenUsed/>
    <w:rsid w:val="00b05ac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c40a09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val="ru-RU" w:eastAsia="en-US" w:bidi="ar-SA"/>
    </w:rPr>
  </w:style>
  <w:style w:type="paragraph" w:styleId="Footnotetext">
    <w:name w:val="footnote text"/>
    <w:basedOn w:val="Normal"/>
    <w:link w:val="af4"/>
    <w:uiPriority w:val="99"/>
    <w:semiHidden/>
    <w:unhideWhenUsed/>
    <w:qFormat/>
    <w:rsid w:val="00c868d2"/>
    <w:pPr>
      <w:spacing w:lineRule="auto" w:line="240" w:before="0" w:after="0"/>
    </w:pPr>
    <w:rPr>
      <w:sz w:val="20"/>
      <w:szCs w:val="20"/>
    </w:rPr>
  </w:style>
  <w:style w:type="paragraph" w:styleId="Style2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d5f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yperlink" Target="consultantplus://offline/ref=DDC2EE9DE76456DE16A2DFAC22B216573F585E9C9FB62F0EA3FE1B0381419D724FBE8FB2F9CF76F10997AFC63FQFQ8L" TargetMode="External"/><Relationship Id="rId5" Type="http://schemas.openxmlformats.org/officeDocument/2006/relationships/hyperlink" Target="consultantplus://offline/ref=6C1FDEA14A05DB46699C41364B05DEECE7C8A1DE0D5339F563A3F47F179AA881D216C0D8D476984A9AD972435884F2BC45CCB240A72779AAo7a3I" TargetMode="Externa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header" Target="header6.xml"/><Relationship Id="rId10" Type="http://schemas.openxmlformats.org/officeDocument/2006/relationships/header" Target="header7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8D2A8-77AA-4CA6-BDF9-2216E05E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LibreOffice/5.4.6.2$Linux_X86_64 LibreOffice_project/4014ce260a04f1026ba855d3b8d91541c224eab8</Application>
  <Pages>17</Pages>
  <Words>4735</Words>
  <Characters>36776</Characters>
  <CharactersWithSpaces>41757</CharactersWithSpaces>
  <Paragraphs>461</Paragraphs>
  <Company>Microsoft Corporation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2020-11-20T10:47:00Z</dcterms:created>
  <dc:creator>Народицкий Михаил Янович</dc:creator>
  <dc:description/>
  <dc:language>ru-RU</dc:language>
  <cp:lastModifiedBy>Худойкина Карина Петровна</cp:lastModifiedBy>
  <cp:lastPrinted>2020-11-19T17:08:00Z</cp:lastPrinted>
  <dcterms:modified xsi:type="dcterms:W3CDTF">2020-11-20T10:47:00Z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